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rPr>
          <w:b/>
        </w:rPr>
        <w:t xml:space="preserve">Page 136</w:t>
      </w:r>
    </w:p>
    <w:p>
      <w:pPr>
        <w:jc w:val="center"/>
      </w:pPr>
      <w:r>
        <w:t xml:space="preserve">136</w:t>
      </w:r>
    </w:p>
    <w:p>
      <w:pPr>
        <w:jc w:val="both"/>
      </w:pPr>
      <w:r>
        <w:t xml:space="preserve">Irâdah, the mind, the </w:t>
      </w:r>
      <w:r>
        <w:rPr>
          <w:i/>
        </w:rPr>
        <w:t xml:space="preserve">sentiments</w:t>
      </w:r>
      <w:r>
        <w:t xml:space="preserve"> and the Rabbânî subtle faculties, which are the four elements of the conscience (wijdân) and the four faculties of the rûh, each have an ultimate aim:</w:t>
      </w:r>
    </w:p>
    <w:p>
      <w:pPr>
        <w:jc w:val="both"/>
      </w:pPr>
      <w:r>
        <w:t xml:space="preserve">• </w:t>
      </w:r>
      <w:r>
        <w:rPr>
          <w:i/>
        </w:rPr>
        <w:t xml:space="preserve">The ultimate aim of the irâdah is ‘ibâdah to Allah;</w:t>
      </w:r>
    </w:p>
    <w:p>
      <w:pPr>
        <w:jc w:val="both"/>
      </w:pPr>
      <w:r>
        <w:t xml:space="preserve">• </w:t>
      </w:r>
      <w:r>
        <w:rPr>
          <w:i/>
        </w:rPr>
        <w:t xml:space="preserve">the ultimate aim of the mind is ma’rifatullah;</w:t>
      </w:r>
    </w:p>
    <w:p>
      <w:pPr>
        <w:jc w:val="both"/>
      </w:pPr>
      <w:r>
        <w:t xml:space="preserve">• </w:t>
      </w:r>
      <w:r>
        <w:rPr>
          <w:i/>
        </w:rPr>
        <w:t xml:space="preserve">the ultimate aim of the sentiments is the love of Allah (muhabbatullah);</w:t>
      </w:r>
    </w:p>
    <w:p>
      <w:pPr>
        <w:jc w:val="both"/>
      </w:pPr>
      <w:r>
        <w:t xml:space="preserve">• </w:t>
      </w:r>
      <w:r>
        <w:rPr>
          <w:i/>
        </w:rPr>
        <w:t xml:space="preserve">the ultimate aim of the subtle faculties is mushâhadatullah</w:t>
      </w:r>
      <w:r>
        <w:rPr>
          <w:vertAlign w:val="superscript"/>
        </w:rPr>
        <w:t xml:space="preserve">[1]</w:t>
      </w:r>
      <w:r>
        <w:rPr>
          <w:i/>
        </w:rPr>
        <w:t xml:space="preserve">.</w:t>
      </w:r>
    </w:p>
    <w:p>
      <w:pPr>
        <w:jc w:val="both"/>
      </w:pPr>
      <w:r>
        <w:t xml:space="preserve">The perfect ‘ibâdah named taqwâ comprises all four of them. The Sharî'ah both cultivates (</w:t>
      </w:r>
      <w:r>
        <w:rPr>
          <w:i/>
        </w:rPr>
        <w:t xml:space="preserve">tanmiyah</w:t>
      </w:r>
      <w:r>
        <w:t xml:space="preserve">) and refines (</w:t>
      </w:r>
      <w:r>
        <w:rPr>
          <w:i/>
        </w:rPr>
        <w:t xml:space="preserve">tahzîb</w:t>
      </w:r>
      <w:r>
        <w:t xml:space="preserve">) them, directing them toward their ultimate aims.</w:t>
      </w:r>
    </w:p>
    <w:p/>
    <w:p>
      <w:r>
        <w:t xml:space="preserve">[1] </w:t>
      </w:r>
      <w:r>
        <w:t xml:space="preserve"> </w:t>
      </w:r>
      <w:r>
        <w:rPr>
          <w:b/>
        </w:rPr>
        <w:t xml:space="preserve">Mushâhadatullah</w:t>
      </w:r>
      <w:r>
        <w:t xml:space="preserve">: Comprehending, observing and perceiving the constant manifestation of Allah’s beautiful names and attributes within His works, through the </w:t>
      </w:r>
      <w:hyperlink r:id="rIdL1">
        <w:r>
          <w:rPr>
            <w:i/>
            <w:color w:val="0563C1"/>
            <w:u w:val="single"/>
          </w:rPr>
          <w:t xml:space="preserve">nûr</w:t>
        </w:r>
      </w:hyperlink>
      <w:r>
        <w:t xml:space="preserve"> of </w:t>
      </w:r>
      <w:hyperlink r:id="rIdL2">
        <w:r>
          <w:rPr>
            <w:i/>
            <w:color w:val="0563C1"/>
            <w:u w:val="single"/>
          </w:rPr>
          <w:t xml:space="preserve">îmân</w:t>
        </w:r>
      </w:hyperlink>
      <w:r>
        <w:t xml:space="preserve">. </w:t>
      </w:r>
      <w:r>
        <w:rPr>
          <w:i/>
        </w:rPr>
        <w:t xml:space="preserve">(Tr.)</w:t>
      </w:r>
    </w:p>
    <w:sectPr>
      <w:pgSz w:w="11906" w:h="16838"/>
      <w:pgMar w:top="1417" w:right="1417" w:bottom="1417" w:left="1417" w:header="708" w:footer="708" w:gutter="0"/>
    </w:sectPr>
  </w:body>
</w:document>
</file>

<file path=word/fontTable.xml><?xml version="1.0" encoding="utf-8"?>
<w:fonts xmlns:w="http://schemas.openxmlformats.org/wordprocessingml/2006/main">
  <w:font w:name="Calibri">
    <w:charset w:val="A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</w:settings>
</file>

<file path=word/styles.xml><?xml version="1.0" encoding="utf-8"?>
<w:styles xmlns:w="http://schemas.openxmlformats.org/wordprocessingml/2006/main">
  <w:docDefaults>
    <w:pPrDefault>
      <w:pPr>
        <w:spacing w:after="0" w:line="240" w:lineRule="auto"/>
      </w:pPr>
    </w:pPrDefault>
    <w:rPrDefault>
      <w:rPr>
        <w:rFonts w:ascii="Calibri" w:hAnsi="Calibri" w:cs="Calibri"/>
        <w:sz w:val="24"/>
        <w:szCs w:val="24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L1" Type="http://schemas.openxmlformats.org/officeDocument/2006/relationships/hyperlink" Target="https://risaleinur.online/english/_dictionary/N/NUR.php" TargetMode="External"/><Relationship Id="rIdL2" Type="http://schemas.openxmlformats.org/officeDocument/2006/relationships/hyperlink" Target="https://risaleinur.online/english/_dictionary/I/IMAN.php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Risaleinuronline Panel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Page 136</dc:title>
  <dc:creator>Risaleinuronline</dc:creator>
  <cp:lastModifiedBy>Risaleinuronline</cp:lastModifiedBy>
  <dcterms:created xsi:type="dcterms:W3CDTF">2026-10-10T12:19:28Z</dcterms:created>
  <dcterms:modified xsi:type="dcterms:W3CDTF">2026-10-10T12:19:28Z</dcterms:modified>
</cp:coreProperties>
</file>