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WAHDAH</w:t>
      </w:r>
    </w:p>
    <w:p>
      <w:pPr>
        <w:jc w:val="center"/>
      </w:pPr>
      <w:r>
        <w:rPr>
          <w:b/>
          <w:color w:val="800000"/>
        </w:rPr>
        <w:t xml:space="preserve">WAHDAH </w:t>
      </w:r>
      <w:r>
        <w:rPr>
          <w:b/>
          <w:color w:val="800000"/>
        </w:rPr>
        <w:t xml:space="preserve">-</w:t>
      </w:r>
      <w:r>
        <w:rPr>
          <w:color w:val="800000"/>
        </w:rPr>
        <w:t xml:space="preserve"> </w:t>
      </w:r>
      <w:r>
        <w:rPr>
          <w:color w:val="800000"/>
        </w:rPr>
        <w:t xml:space="preserve">وحدة</w:t>
      </w:r>
    </w:p>
    <w:p>
      <w:pPr>
        <w:jc w:val="both"/>
      </w:pPr>
      <w:r>
        <w:rPr>
          <w:b/>
        </w:rPr>
        <w:t xml:space="preserve">Literally and Etymologically:</w:t>
      </w:r>
      <w:r>
        <w:t xml:space="preserve"> </w:t>
      </w:r>
    </w:p>
    <w:p>
      <w:pPr>
        <w:jc w:val="both"/>
      </w:pPr>
      <w:r>
        <w:t xml:space="preserve">Literally, it denotes unity, singleness and uniqueness. It expresses unparalleled oneness, standing as the absolute conceptual source of unity. Etymologically, it derives from the verbal root </w:t>
      </w:r>
      <w:r>
        <w:rPr>
          <w:i/>
        </w:rPr>
        <w:t xml:space="preserve">w-h-d</w:t>
      </w:r>
      <w:r>
        <w:t xml:space="preserve"> (</w:t>
      </w:r>
      <w:r>
        <w:rPr>
          <w:color w:val="FF0000"/>
        </w:rPr>
        <w:t xml:space="preserve">و-ح-د</w:t>
      </w:r>
      <w:r>
        <w:t xml:space="preserve">), which fundamentally signifies being one, unique and indivisible, standing as the absolute opposite of multiplicity (kathrah).</w:t>
      </w:r>
    </w:p>
    <w:p>
      <w:pPr>
        <w:jc w:val="both"/>
      </w:pPr>
      <w:r>
        <w:rPr>
          <w:b/>
        </w:rPr>
        <w:t xml:space="preserve">Etymologically, it is directly bound to the words:</w:t>
      </w:r>
    </w:p>
    <w:p>
      <w:r>
        <w:t xml:space="preserve">• </w:t>
      </w:r>
      <w:r>
        <w:rPr>
          <w:b/>
          <w:i/>
        </w:rPr>
        <w:t xml:space="preserve">A</w:t>
      </w:r>
      <w:r>
        <w:rPr>
          <w:b/>
          <w:i/>
        </w:rPr>
        <w:t xml:space="preserve">l-</w:t>
      </w:r>
      <w:r>
        <w:rPr>
          <w:b/>
          <w:i/>
        </w:rPr>
        <w:t xml:space="preserve">Wâhid</w:t>
      </w:r>
      <w:r>
        <w:rPr>
          <w:b/>
        </w:rPr>
        <w:t xml:space="preserve"> </w:t>
      </w:r>
      <w:r>
        <w:t xml:space="preserve">(</w:t>
      </w:r>
      <w:r>
        <w:rPr>
          <w:color w:val="FF0000"/>
        </w:rPr>
        <w:t xml:space="preserve">الْوَاحِد</w:t>
      </w:r>
      <w:r>
        <w:t xml:space="preserve">) — </w:t>
      </w:r>
      <w:r>
        <w:rPr>
          <w:b/>
        </w:rPr>
        <w:t xml:space="preserve">The One:</w:t>
      </w:r>
      <w:r>
        <w:t xml:space="preserve"> The sublime name of Allah representing His absolute, indivisible oneness in His essence (</w:t>
      </w:r>
      <w:r>
        <w:rPr>
          <w:i/>
        </w:rPr>
        <w:t xml:space="preserve">Dhât</w:t>
      </w:r>
      <w:r>
        <w:t xml:space="preserve">), attributes (</w:t>
      </w:r>
      <w:r>
        <w:rPr>
          <w:i/>
        </w:rPr>
        <w:t xml:space="preserve">Sifât</w:t>
      </w:r>
      <w:r>
        <w:t xml:space="preserve">) and deeds (</w:t>
      </w:r>
      <w:r>
        <w:rPr>
          <w:i/>
        </w:rPr>
        <w:t xml:space="preserve">Af‘</w:t>
      </w:r>
      <w:r>
        <w:rPr>
          <w:i/>
        </w:rPr>
        <w:t xml:space="preserve">âl</w:t>
      </w:r>
      <w:r>
        <w:t xml:space="preserve">), having no partner, peer or equal in any respect.</w:t>
      </w:r>
    </w:p>
    <w:p>
      <w:r>
        <w:t xml:space="preserve">• </w:t>
      </w:r>
      <w:r>
        <w:rPr>
          <w:b/>
          <w:i/>
        </w:rPr>
        <w:t xml:space="preserve">Wâhidiyyah</w:t>
      </w:r>
      <w:r>
        <w:t xml:space="preserve"> (</w:t>
      </w:r>
      <w:r>
        <w:rPr>
          <w:color w:val="FF0000"/>
        </w:rPr>
        <w:t xml:space="preserve">وَاحِدِيَّة</w:t>
      </w:r>
      <w:r>
        <w:t xml:space="preserve">) — The manifestation of oneness as witnessed across the vast totality of the universe, demonstrating that all species, laws and universal order are governed by a Single Creator. It signifies that all created beings belong to the One, point to the One and are the direct creation of the One without any intermediaries. </w:t>
      </w:r>
    </w:p>
    <w:p>
      <w:r>
        <w:t xml:space="preserve">• </w:t>
      </w:r>
      <w:r>
        <w:rPr>
          <w:b/>
          <w:i/>
        </w:rPr>
        <w:t xml:space="preserve">Ahadiyyah</w:t>
      </w:r>
      <w:r>
        <w:t xml:space="preserve"> (</w:t>
      </w:r>
      <w:r>
        <w:rPr>
          <w:color w:val="FF0000"/>
        </w:rPr>
        <w:t xml:space="preserve">أَحَدِيَّة</w:t>
      </w:r>
      <w:r>
        <w:t xml:space="preserve">) — The direct manifestation of the oneness of Allah upon a single being, such as a single atom or an individual human being. It represents the manifestation of most of the names of Allah within each and every thing.</w:t>
      </w:r>
    </w:p>
    <w:p>
      <w:r>
        <w:t xml:space="preserve">• </w:t>
      </w:r>
      <w:r>
        <w:rPr>
          <w:b/>
          <w:i/>
        </w:rPr>
        <w:t xml:space="preserve">Wahdâniyyah</w:t>
      </w:r>
      <w:r>
        <w:rPr>
          <w:b/>
          <w:i/>
        </w:rPr>
        <w:t xml:space="preserve"> </w:t>
      </w:r>
      <w:r>
        <w:t xml:space="preserve">(</w:t>
      </w:r>
      <w:r>
        <w:rPr>
          <w:color w:val="FF0000"/>
        </w:rPr>
        <w:t xml:space="preserve">وَحْدَانِيَّة</w:t>
      </w:r>
      <w:r>
        <w:t xml:space="preserve">) — </w:t>
      </w:r>
      <w:r>
        <w:rPr>
          <w:b/>
        </w:rPr>
        <w:t xml:space="preserve">The </w:t>
      </w:r>
      <w:r>
        <w:rPr>
          <w:b/>
        </w:rPr>
        <w:t xml:space="preserve">A</w:t>
      </w:r>
      <w:r>
        <w:rPr>
          <w:b/>
        </w:rPr>
        <w:t xml:space="preserve">ttribute of Absolute Oneness:</w:t>
      </w:r>
      <w:r>
        <w:t xml:space="preserve"> The essential attribute of Allah which affirms oneness exclusive to Him and the impossibility of any multiplicity (</w:t>
      </w:r>
      <w:r>
        <w:rPr>
          <w:i/>
        </w:rPr>
        <w:t xml:space="preserve">kathrah</w:t>
      </w:r>
      <w:r>
        <w:t xml:space="preserve">) or associate (</w:t>
      </w:r>
      <w:r>
        <w:rPr>
          <w:i/>
        </w:rPr>
        <w:t xml:space="preserve">shar</w:t>
      </w:r>
      <w:r>
        <w:rPr>
          <w:i/>
        </w:rPr>
        <w:t xml:space="preserve">i</w:t>
      </w:r>
      <w:r>
        <w:rPr>
          <w:i/>
        </w:rPr>
        <w:t xml:space="preserve">k</w:t>
      </w:r>
      <w:r>
        <w:t xml:space="preserve">) sharing in His </w:t>
      </w:r>
      <w:hyperlink r:id="rIdL1">
        <w:r>
          <w:rPr>
            <w:color w:val="0563C1"/>
            <w:u w:val="single"/>
          </w:rPr>
          <w:t xml:space="preserve">r</w:t>
        </w:r>
      </w:hyperlink>
      <w:hyperlink r:id="rIdL1">
        <w:r>
          <w:rPr>
            <w:color w:val="0563C1"/>
            <w:u w:val="single"/>
          </w:rPr>
          <w:t xml:space="preserve">ubûbiyyah</w:t>
        </w:r>
      </w:hyperlink>
      <w:r>
        <w:t xml:space="preserve"> and governance.</w:t>
      </w:r>
    </w:p>
    <w:p>
      <w:r>
        <w:t xml:space="preserve">• </w:t>
      </w:r>
      <w:r>
        <w:rPr>
          <w:b/>
          <w:i/>
        </w:rPr>
        <w:t xml:space="preserve">Tawhîd</w:t>
      </w:r>
      <w:r>
        <w:t xml:space="preserve"> (</w:t>
      </w:r>
      <w:r>
        <w:rPr>
          <w:color w:val="FF0000"/>
        </w:rPr>
        <w:t xml:space="preserve">تَوْحِيد</w:t>
      </w:r>
      <w:r>
        <w:t xml:space="preserve">) — The foundational belief of Islam, absolute monotheism, affirming Allah's absolute unity and uniqueness as the sole Creator and Sustainer of the entire universe, along with the declaration of that faith through the sacred statement of </w:t>
      </w:r>
      <w:r>
        <w:rPr>
          <w:i/>
        </w:rPr>
        <w:t xml:space="preserve">tawhîd</w:t>
      </w:r>
      <w:r>
        <w:t xml:space="preserve">: </w:t>
      </w:r>
      <w:r>
        <w:rPr>
          <w:color w:val="FF0000"/>
        </w:rPr>
        <w:t xml:space="preserve">لاَ اِلهَ اِلاَّ اللّٰهُ</w:t>
      </w:r>
      <w:r>
        <w:t xml:space="preserve">.</w:t>
      </w:r>
    </w:p>
    <w:p>
      <w:r>
        <w:t xml:space="preserve">• </w:t>
      </w:r>
      <w:r>
        <w:rPr>
          <w:b/>
          <w:i/>
        </w:rPr>
        <w:t xml:space="preserve">Ittihâd</w:t>
      </w:r>
      <w:r>
        <w:t xml:space="preserve"> (</w:t>
      </w:r>
      <w:r>
        <w:rPr>
          <w:color w:val="FF0000"/>
        </w:rPr>
        <w:t xml:space="preserve">إِتِّحَاد</w:t>
      </w:r>
      <w:r>
        <w:t xml:space="preserve">) — </w:t>
      </w:r>
      <w:r>
        <w:rPr>
          <w:b/>
        </w:rPr>
        <w:t xml:space="preserve">Oneness in Harmony and Sacred Unity:</w:t>
      </w:r>
      <w:r>
        <w:t xml:space="preserve"> The state of harmonious unity, cohesion and ma’nawî alignment among distinct parts or individuals rooted directly in the principle of tawhîd, which unites their hearts through countless </w:t>
      </w:r>
      <w:hyperlink r:id="rIdL2">
        <w:r>
          <w:rPr>
            <w:i/>
            <w:color w:val="0563C1"/>
            <w:u w:val="single"/>
          </w:rPr>
          <w:t xml:space="preserve">ma’nawî</w:t>
        </w:r>
      </w:hyperlink>
      <w:r>
        <w:t xml:space="preserve"> chains of unity, such as sharing the same Creator, Prophet, Book and Qiblah. </w:t>
      </w:r>
    </w:p>
    <w:p>
      <w:pPr>
        <w:jc w:val="both"/>
      </w:pPr>
      <w:r>
        <w:rPr>
          <w:b/>
        </w:rPr>
        <w:t xml:space="preserve">As an Islamic Term:</w:t>
      </w:r>
      <w:r>
        <w:t xml:space="preserve"> The sublime </w:t>
      </w:r>
      <w:hyperlink r:id="rIdL3">
        <w:r>
          <w:rPr>
            <w:i/>
            <w:color w:val="0563C1"/>
            <w:u w:val="single"/>
          </w:rPr>
          <w:t xml:space="preserve">haqiqah</w:t>
        </w:r>
      </w:hyperlink>
      <w:r>
        <w:t xml:space="preserve"> and fundamental principle of the absolute oneness of Allah, representing the ultimate opposite of multiplicity </w:t>
      </w:r>
      <w:r>
        <w:rPr>
          <w:i/>
        </w:rPr>
        <w:t xml:space="preserve">(</w:t>
      </w:r>
      <w:r>
        <w:rPr>
          <w:i/>
        </w:rPr>
        <w:t xml:space="preserve">kathrah</w:t>
      </w:r>
      <w:r>
        <w:rPr>
          <w:i/>
        </w:rPr>
        <w:t xml:space="preserve">)</w:t>
      </w:r>
      <w:r>
        <w:t xml:space="preserve">. While wâhidiyyah refers to witnessing the manifestation of oneness across the vast totality of the universe and ahadiyyah signifies the direct manifestation of that oneness upon a single particular entity — such as an atom or an individual human being — wahdah represents the sublime haqiqah of Allah’s unity that encompasses both dimensions. It unveils how the universe, with all its vast multiplicity, is in haqiqah a unified mirror reflecting the single decree of its Sole Creator.</w:t>
      </w:r>
    </w:p>
    <w:p>
      <w:pPr>
        <w:jc w:val="both"/>
      </w:pPr>
      <w:r>
        <w:t xml:space="preserve">It guides the </w:t>
      </w:r>
      <w:hyperlink r:id="rIdL4">
        <w:r>
          <w:rPr>
            <w:i/>
            <w:color w:val="0563C1"/>
            <w:u w:val="single"/>
          </w:rPr>
          <w:t xml:space="preserve">rûh</w:t>
        </w:r>
      </w:hyperlink>
      <w:r>
        <w:t xml:space="preserve"> away from the distractions of the material world to find ultimate tranquility, proximity and certainty by recognising that the One Creator manifests His direct grace and </w:t>
      </w:r>
      <w:hyperlink r:id="rIdL5">
        <w:r>
          <w:rPr>
            <w:i/>
            <w:color w:val="0563C1"/>
            <w:u w:val="single"/>
          </w:rPr>
          <w:t xml:space="preserve">rahmah</w:t>
        </w:r>
      </w:hyperlink>
      <w:r>
        <w:t xml:space="preserve"> within the very heart and existence of the </w:t>
      </w:r>
      <w:hyperlink r:id="rIdL6">
        <w:r>
          <w:rPr>
            <w:i/>
            <w:color w:val="0563C1"/>
            <w:u w:val="single"/>
          </w:rPr>
          <w:t xml:space="preserve">‘</w:t>
        </w:r>
      </w:hyperlink>
      <w:hyperlink r:id="rIdL6">
        <w:r>
          <w:rPr>
            <w:i/>
            <w:color w:val="0563C1"/>
            <w:u w:val="single"/>
          </w:rPr>
          <w:t xml:space="preserve">abd</w:t>
        </w:r>
      </w:hyperlink>
      <w:r>
        <w:t xml:space="preserve">.</w:t>
      </w:r>
    </w:p>
    <w:p>
      <w:pPr>
        <w:jc w:val="both"/>
      </w:pPr>
      <w:r>
        <w:rPr>
          <w:b/>
          <w:i/>
        </w:rPr>
        <w:t xml:space="preserve">An excerpt from the </w:t>
      </w:r>
      <w:r>
        <w:rPr>
          <w:b/>
          <w:i/>
        </w:rPr>
        <w:t xml:space="preserve">Risale-i</w:t>
      </w:r>
      <w:r>
        <w:rPr>
          <w:b/>
          <w:i/>
        </w:rPr>
        <w:t xml:space="preserve"> Nur that elucidates this </w:t>
      </w:r>
      <w:r>
        <w:rPr>
          <w:b/>
          <w:i/>
        </w:rPr>
        <w:t xml:space="preserve">haqiqah</w:t>
      </w:r>
      <w:r>
        <w:rPr>
          <w:b/>
          <w:i/>
        </w:rPr>
        <w:t xml:space="preserve">: </w:t>
      </w:r>
    </w:p>
    <w:p>
      <w:pPr>
        <w:jc w:val="both"/>
      </w:pPr>
      <w:r>
        <w:rPr>
          <w:b/>
        </w:rPr>
        <w:t xml:space="preserve">THE ELEVENTH PHRASE:</w:t>
      </w:r>
      <w:r>
        <w:t xml:space="preserve"> </w:t>
      </w:r>
      <w:r>
        <w:rPr>
          <w:color w:val="FF0000"/>
        </w:rPr>
        <w:t xml:space="preserve">وَ اِلَيْهِ الْمَصِيرُ</w:t>
      </w:r>
      <w:r>
        <w:rPr>
          <w:vertAlign w:val="superscript"/>
        </w:rPr>
        <w:t xml:space="preserve">[1]</w:t>
      </w:r>
    </w:p>
    <w:p>
      <w:pPr>
        <w:jc w:val="both"/>
      </w:pPr>
      <w:r>
        <w:rPr>
          <w:b/>
        </w:rPr>
        <w:t xml:space="preserve">That is to say:</w:t>
      </w:r>
      <w:r>
        <w:t xml:space="preserve"> Mankind, who are sent to this world, the realm of trial, with significant duties for trade and official missions, will again return to their Khâliq Zuljalâl, Who sent them, and they will be reunited with their Mawlâ, Who is Karîm, after conducting their trade, completing their duties and concluding their service.</w:t>
      </w:r>
    </w:p>
    <w:p>
      <w:pPr>
        <w:jc w:val="both"/>
      </w:pPr>
      <w:r>
        <w:rPr>
          <w:b/>
        </w:rPr>
        <w:t xml:space="preserve">That is to say,</w:t>
      </w:r>
      <w:r>
        <w:t xml:space="preserve"> departing from this transient realm, they will be honoured with being in the presence of Supreme Majesty within the eternal realm.</w:t>
      </w:r>
    </w:p>
    <w:p>
      <w:pPr>
        <w:jc w:val="both"/>
      </w:pPr>
      <w:r>
        <w:rPr>
          <w:b/>
        </w:rPr>
        <w:t xml:space="preserve">That is to say,</w:t>
      </w:r>
      <w:r>
        <w:t xml:space="preserve"> being saved from the turmoil of causes and the dark veils of intermediaries, they will be reunited with their Rabb, Who is Rahîm, without a veil at the domain of His eternal sovereignty. Everyone directly will know and find Who his Khâliq, Ma’bûd, Rabb, Sayyîd and Mâlik is. </w:t>
      </w:r>
    </w:p>
    <w:p>
      <w:pPr>
        <w:jc w:val="both"/>
      </w:pPr>
      <w:r>
        <w:t xml:space="preserve">Thus, this phrase gives the following good tiding, which is superior to all good tidings, and says: </w:t>
      </w:r>
    </w:p>
    <w:p>
      <w:pPr>
        <w:jc w:val="both"/>
      </w:pPr>
      <w:r>
        <w:t xml:space="preserve">“O man! Do you know where you are going and where you are driven forth? As it is said at the end of the Thirty-Second Word: You are going to the sphere of rahmah and the station of presence of a Jamîl Zuljalâl — one hour of the ru’yat of Whose glorious grace is not equivalent to a thousand years of the life of Jannah, just as one hour of that </w:t>
      </w:r>
      <w:r>
        <w:rPr>
          <w:i/>
        </w:rPr>
        <w:t xml:space="preserve">Jannah</w:t>
      </w:r>
      <w:r>
        <w:t xml:space="preserve"> life is not equivalent to a thousand years of the happy life of this world. </w:t>
      </w:r>
    </w:p>
    <w:p>
      <w:pPr>
        <w:jc w:val="both"/>
      </w:pPr>
      <w:r>
        <w:t xml:space="preserve">You are going to the sphere of Presence of an imperishable Mahbûb and an everlasting Ma’bûd. The beauty and grace in all the earthly beings and in the metaphorical beloveds whom you are enslaved by, infatuated with and filled with longing for are but a kind of shadow of the manifestation of His glorious grace and the beauty of His Names; and the entire Jannah with all its subtleties is but a single manifestation of His rahmah, and all desires, loves, attractions and gravitations are but a single flash of His love; and you are invited to Jannah, which is His eternal feasting place. In that case, enter the door of the grave not weeping, but smiling."</w:t>
      </w:r>
    </w:p>
    <w:p>
      <w:pPr>
        <w:jc w:val="both"/>
      </w:pPr>
      <w:r>
        <w:t xml:space="preserve">This phrase also delivers the following good tiding and says: </w:t>
      </w:r>
    </w:p>
    <w:p>
      <w:pPr>
        <w:jc w:val="both"/>
      </w:pPr>
      <w:r>
        <w:t xml:space="preserve">“O man! Do not imagine and suppose that you are going to annihilation, non-existence, nothingness, darkness, oblivion, decay and dissolution and to be drowned in multiplicity. You are going not to annihilation, but to eternity. You are driven forth not to non-existence, but to a perpetual existence. You are entering not into darkness, but the ‘âlam of nûr. You are going towards the true Protector and Mâlik, and returning to the sovereign capital of the azalî Sultân. You will not drown in multiplicity but will breathe within the sphere of wahdah. Your face is turned not towards not separation, but reunion.” </w:t>
      </w:r>
    </w:p>
    <w:p>
      <w:pPr>
        <w:jc w:val="right"/>
      </w:pPr>
      <w:r>
        <w:t xml:space="preserve">The Twentieth Letter</w:t>
      </w:r>
    </w:p>
    <w:p/>
    <w:p>
      <w:r>
        <w:t xml:space="preserve">[1] </w:t>
      </w:r>
      <w:r>
        <w:t xml:space="preserve"> (And to Him is the final return.)</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R/RUBUBIYYAH.php" TargetMode="External"/><Relationship Id="rIdL2" Type="http://schemas.openxmlformats.org/officeDocument/2006/relationships/hyperlink" Target="https://risaleinur.online/english/_dictionary/M/MANAWI.php" TargetMode="External"/><Relationship Id="rIdL3" Type="http://schemas.openxmlformats.org/officeDocument/2006/relationships/hyperlink" Target="https://risaleinur.online/english/_dictionary/H/HAQIQAH.php" TargetMode="External"/><Relationship Id="rIdL4" Type="http://schemas.openxmlformats.org/officeDocument/2006/relationships/hyperlink" Target="https://risaleinur.online/english/_dictionary/R/RUH.php" TargetMode="External"/><Relationship Id="rIdL5" Type="http://schemas.openxmlformats.org/officeDocument/2006/relationships/hyperlink" Target="https://risaleinur.online/english/_dictionary/R/RAHMAH.php" TargetMode="External"/><Relationship Id="rIdL6" Type="http://schemas.openxmlformats.org/officeDocument/2006/relationships/hyperlink" Target="https://risaleinur.online/english/_dictionary/A/ABD.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WAHDAH</dc:title>
  <dc:creator>Risaleinuronline</dc:creator>
  <cp:lastModifiedBy>Risaleinuronline</cp:lastModifiedBy>
  <dcterms:created xsi:type="dcterms:W3CDTF">2026-09-24T16:41:19Z</dcterms:created>
  <dcterms:modified xsi:type="dcterms:W3CDTF">2026-09-24T16:41:19Z</dcterms:modified>
</cp:coreProperties>
</file>