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79782" w14:textId="77777777" w:rsidR="00AE37D5" w:rsidRPr="00921F9B" w:rsidRDefault="00AE37D5" w:rsidP="00AE37D5">
      <w:pPr>
        <w:spacing w:before="120"/>
        <w:jc w:val="center"/>
        <w:rPr>
          <w:lang w:val="en-GB"/>
        </w:rPr>
      </w:pPr>
      <w:r w:rsidRPr="00921F9B">
        <w:rPr>
          <w:rFonts w:ascii="Calibri" w:hAnsi="Calibri" w:cs="Calibri"/>
          <w:b/>
          <w:bCs/>
          <w:color w:val="800000"/>
          <w:sz w:val="32"/>
          <w:szCs w:val="32"/>
          <w:lang w:val="en-GB"/>
        </w:rPr>
        <w:t>TAKWÎN –</w:t>
      </w:r>
      <w:r w:rsidRPr="00921F9B">
        <w:rPr>
          <w:rFonts w:ascii="Calibri" w:hAnsi="Calibri" w:cs="Calibri"/>
          <w:b/>
          <w:bCs/>
          <w:sz w:val="32"/>
          <w:szCs w:val="32"/>
          <w:lang w:val="en-GB"/>
        </w:rPr>
        <w:t xml:space="preserve"> </w:t>
      </w:r>
      <w:r w:rsidRPr="00921F9B">
        <w:rPr>
          <w:rFonts w:ascii="Calibri" w:hAnsi="Calibri" w:cs="Calibri"/>
          <w:b/>
          <w:bCs/>
          <w:color w:val="800000"/>
          <w:sz w:val="32"/>
          <w:szCs w:val="32"/>
          <w:lang w:val="en-GB"/>
        </w:rPr>
        <w:t>TAKWÎNÎ</w:t>
      </w:r>
    </w:p>
    <w:p w14:paraId="723C474A" w14:textId="77777777" w:rsidR="00AE37D5" w:rsidRPr="00921F9B" w:rsidRDefault="00AE37D5" w:rsidP="00AE37D5">
      <w:pPr>
        <w:spacing w:before="120"/>
        <w:jc w:val="center"/>
        <w:rPr>
          <w:lang w:val="en-GB"/>
        </w:rPr>
      </w:pPr>
      <w:r w:rsidRPr="00921F9B">
        <w:rPr>
          <w:rFonts w:ascii="Calibri" w:hAnsi="Calibri" w:cs="Calibri"/>
          <w:color w:val="800000"/>
          <w:sz w:val="36"/>
          <w:szCs w:val="36"/>
          <w:rtl/>
          <w:lang w:val="en-GB"/>
        </w:rPr>
        <w:t>تكوين</w:t>
      </w:r>
      <w:r w:rsidRPr="00921F9B">
        <w:rPr>
          <w:rFonts w:ascii="Calibri" w:hAnsi="Calibri" w:cs="Calibri"/>
          <w:color w:val="800000"/>
          <w:sz w:val="36"/>
          <w:szCs w:val="36"/>
          <w:lang w:val="en-GB"/>
        </w:rPr>
        <w:t xml:space="preserve"> –</w:t>
      </w:r>
      <w:r w:rsidRPr="00921F9B">
        <w:rPr>
          <w:rFonts w:ascii="Calibri" w:hAnsi="Calibri" w:cs="Calibri"/>
          <w:color w:val="800000"/>
          <w:sz w:val="36"/>
          <w:szCs w:val="36"/>
          <w:rtl/>
          <w:lang w:val="en-GB"/>
        </w:rPr>
        <w:t>ت</w:t>
      </w:r>
      <w:bookmarkStart w:id="0" w:name="_Hlk234419557"/>
      <w:r w:rsidRPr="00921F9B">
        <w:rPr>
          <w:rFonts w:ascii="Calibri" w:hAnsi="Calibri" w:cs="Calibri"/>
          <w:color w:val="800000"/>
          <w:sz w:val="36"/>
          <w:szCs w:val="36"/>
          <w:rtl/>
          <w:lang w:val="en-GB"/>
        </w:rPr>
        <w:t>ك</w:t>
      </w:r>
      <w:bookmarkEnd w:id="0"/>
      <w:r w:rsidRPr="00921F9B">
        <w:rPr>
          <w:rFonts w:ascii="Calibri" w:hAnsi="Calibri" w:cs="Calibri"/>
          <w:color w:val="800000"/>
          <w:sz w:val="36"/>
          <w:szCs w:val="36"/>
          <w:rtl/>
          <w:lang w:val="en-GB"/>
        </w:rPr>
        <w:t>ويني</w:t>
      </w:r>
      <w:r w:rsidRPr="00921F9B">
        <w:rPr>
          <w:rFonts w:ascii="Calibri" w:hAnsi="Calibri" w:cs="Calibri"/>
          <w:color w:val="800000"/>
          <w:sz w:val="36"/>
          <w:szCs w:val="36"/>
          <w:cs/>
          <w:lang w:val="en-GB"/>
        </w:rPr>
        <w:t xml:space="preserve"> </w:t>
      </w:r>
    </w:p>
    <w:p w14:paraId="0D87E5C3" w14:textId="77777777" w:rsidR="00AE37D5" w:rsidRPr="00921F9B" w:rsidRDefault="00AE37D5" w:rsidP="00AE37D5">
      <w:pPr>
        <w:spacing w:before="120"/>
        <w:jc w:val="center"/>
        <w:rPr>
          <w:rFonts w:ascii="Calibri" w:hAnsi="Calibri" w:cs="Calibri"/>
          <w:sz w:val="12"/>
          <w:szCs w:val="12"/>
          <w:lang w:val="en-GB"/>
        </w:rPr>
      </w:pPr>
    </w:p>
    <w:p w14:paraId="31861154" w14:textId="77777777" w:rsidR="00AE37D5" w:rsidRPr="00921F9B" w:rsidRDefault="00AE37D5" w:rsidP="00AE37D5">
      <w:pPr>
        <w:spacing w:before="120"/>
        <w:jc w:val="both"/>
        <w:rPr>
          <w:rFonts w:ascii="Calibri" w:hAnsi="Calibri" w:cs="Calibri"/>
          <w:lang w:val="en-GB"/>
        </w:rPr>
      </w:pPr>
      <w:r w:rsidRPr="00921F9B">
        <w:rPr>
          <w:rFonts w:ascii="Calibri" w:hAnsi="Calibri" w:cs="Calibri"/>
          <w:b/>
          <w:bCs/>
          <w:lang w:val="en-GB"/>
        </w:rPr>
        <w:t xml:space="preserve">Literally and Etymologically: </w:t>
      </w:r>
    </w:p>
    <w:p w14:paraId="7F5392C9" w14:textId="77777777" w:rsidR="00AE37D5" w:rsidRDefault="00AE37D5" w:rsidP="00AE37D5">
      <w:pPr>
        <w:spacing w:before="120"/>
        <w:jc w:val="both"/>
        <w:rPr>
          <w:rFonts w:ascii="Calibri" w:hAnsi="Calibri" w:cs="Calibri"/>
          <w:lang w:val="en-GB"/>
        </w:rPr>
      </w:pPr>
      <w:bookmarkStart w:id="1" w:name="_Hlk240979181"/>
      <w:r w:rsidRPr="00921F9B">
        <w:rPr>
          <w:rFonts w:ascii="Calibri" w:hAnsi="Calibri" w:cs="Calibri"/>
          <w:lang w:val="en-GB"/>
        </w:rPr>
        <w:t xml:space="preserve">Literally means the act of bringing into existence, creating, originating or bringing into production. Etymologically, it derives from the verbal root </w:t>
      </w:r>
      <w:r w:rsidRPr="00921F9B">
        <w:rPr>
          <w:rFonts w:ascii="Calibri" w:hAnsi="Calibri" w:cs="Calibri"/>
          <w:i/>
          <w:iCs/>
          <w:lang w:val="en-GB"/>
        </w:rPr>
        <w:t>k-w-n</w:t>
      </w:r>
      <w:r w:rsidRPr="00921F9B">
        <w:rPr>
          <w:rFonts w:ascii="Calibri" w:hAnsi="Calibri" w:cs="Calibri"/>
          <w:lang w:val="en-GB"/>
        </w:rPr>
        <w:t xml:space="preserve"> (</w:t>
      </w:r>
      <w:r w:rsidRPr="00921F9B">
        <w:rPr>
          <w:rFonts w:ascii="Calibri" w:hAnsi="Calibri" w:cs="Calibri"/>
          <w:color w:val="FF0000"/>
          <w:sz w:val="28"/>
          <w:szCs w:val="28"/>
          <w:rtl/>
          <w:lang w:val="en-GB"/>
        </w:rPr>
        <w:t>ك-و-ن</w:t>
      </w:r>
      <w:r w:rsidRPr="00921F9B">
        <w:rPr>
          <w:rFonts w:ascii="Calibri" w:hAnsi="Calibri" w:cs="Calibri"/>
          <w:lang w:val="en-GB"/>
        </w:rPr>
        <w:t>), which signifies coming into being, existing or taking form. In the causative form (</w:t>
      </w:r>
      <w:r w:rsidRPr="00921F9B">
        <w:rPr>
          <w:rFonts w:ascii="Calibri" w:hAnsi="Calibri" w:cs="Calibri"/>
          <w:i/>
          <w:iCs/>
          <w:lang w:val="en-GB"/>
        </w:rPr>
        <w:t>takwîn</w:t>
      </w:r>
      <w:r w:rsidRPr="00921F9B">
        <w:rPr>
          <w:rFonts w:ascii="Calibri" w:hAnsi="Calibri" w:cs="Calibri"/>
          <w:lang w:val="en-GB"/>
        </w:rPr>
        <w:t>), it denotes the active, purposeful bringing of something from non-existence (</w:t>
      </w:r>
      <w:r w:rsidRPr="00921F9B">
        <w:rPr>
          <w:rFonts w:ascii="Calibri" w:hAnsi="Calibri" w:cs="Calibri"/>
          <w:i/>
          <w:iCs/>
          <w:lang w:val="en-GB"/>
        </w:rPr>
        <w:t>‘adam</w:t>
      </w:r>
      <w:r w:rsidRPr="00921F9B">
        <w:rPr>
          <w:rFonts w:ascii="Calibri" w:hAnsi="Calibri" w:cs="Calibri"/>
          <w:lang w:val="en-GB"/>
        </w:rPr>
        <w:t>) into a state of manifest existence (</w:t>
      </w:r>
      <w:r w:rsidRPr="00921F9B">
        <w:rPr>
          <w:rFonts w:ascii="Calibri" w:hAnsi="Calibri" w:cs="Calibri"/>
          <w:i/>
          <w:iCs/>
          <w:lang w:val="en-GB"/>
        </w:rPr>
        <w:t>wujûd</w:t>
      </w:r>
      <w:r w:rsidRPr="00921F9B">
        <w:rPr>
          <w:rFonts w:ascii="Calibri" w:hAnsi="Calibri" w:cs="Calibri"/>
          <w:lang w:val="en-GB"/>
        </w:rPr>
        <w:t xml:space="preserve">), </w:t>
      </w:r>
      <w:r>
        <w:rPr>
          <w:rFonts w:ascii="Calibri" w:hAnsi="Calibri" w:cs="Calibri"/>
          <w:lang w:val="en-GB"/>
        </w:rPr>
        <w:t>essentially</w:t>
      </w:r>
      <w:r w:rsidRPr="00921F9B">
        <w:rPr>
          <w:rFonts w:ascii="Calibri" w:hAnsi="Calibri" w:cs="Calibri"/>
          <w:lang w:val="en-GB"/>
        </w:rPr>
        <w:t xml:space="preserve"> bound to the command of Allah: </w:t>
      </w:r>
      <w:r w:rsidRPr="00921F9B">
        <w:rPr>
          <w:rFonts w:ascii="Calibri" w:hAnsi="Calibri" w:cs="Calibri"/>
          <w:i/>
          <w:iCs/>
          <w:lang w:val="en-GB"/>
        </w:rPr>
        <w:t>“Kun!”</w:t>
      </w:r>
      <w:r w:rsidRPr="00921F9B">
        <w:rPr>
          <w:rFonts w:ascii="Calibri" w:hAnsi="Calibri" w:cs="Calibri"/>
          <w:lang w:val="en-GB"/>
        </w:rPr>
        <w:t xml:space="preserve"> (“Be!”)</w:t>
      </w:r>
      <w:r>
        <w:rPr>
          <w:rStyle w:val="FootnoteReference"/>
          <w:rFonts w:ascii="Calibri" w:hAnsi="Calibri" w:cs="Calibri"/>
          <w:lang w:val="en-GB"/>
        </w:rPr>
        <w:footnoteReference w:id="1"/>
      </w:r>
    </w:p>
    <w:p w14:paraId="44332FF7" w14:textId="77777777" w:rsidR="00AE37D5" w:rsidRPr="00921F9B" w:rsidRDefault="00AE37D5" w:rsidP="00AE37D5">
      <w:pPr>
        <w:spacing w:before="120"/>
        <w:jc w:val="both"/>
        <w:rPr>
          <w:lang w:val="en-GB"/>
        </w:rPr>
      </w:pPr>
      <w:r w:rsidRPr="00921F9B">
        <w:rPr>
          <w:rFonts w:ascii="Calibri" w:hAnsi="Calibri" w:cs="Calibri"/>
          <w:b/>
          <w:bCs/>
          <w:lang w:val="en-GB"/>
        </w:rPr>
        <w:t>As an Islamic term:</w:t>
      </w:r>
      <w:r w:rsidRPr="00921F9B">
        <w:rPr>
          <w:rFonts w:ascii="Calibri" w:hAnsi="Calibri" w:cs="Calibri"/>
          <w:lang w:val="en-GB"/>
        </w:rPr>
        <w:t xml:space="preserve"> </w:t>
      </w:r>
    </w:p>
    <w:p w14:paraId="7AC3F5D0" w14:textId="77777777" w:rsidR="00AE37D5" w:rsidRPr="00921F9B" w:rsidRDefault="00AE37D5" w:rsidP="00AE37D5">
      <w:pPr>
        <w:numPr>
          <w:ilvl w:val="0"/>
          <w:numId w:val="1"/>
        </w:numPr>
        <w:spacing w:before="120"/>
        <w:jc w:val="both"/>
        <w:rPr>
          <w:rFonts w:ascii="Calibri" w:hAnsi="Calibri" w:cs="Calibri"/>
          <w:lang w:val="en-GB"/>
        </w:rPr>
      </w:pPr>
      <w:r w:rsidRPr="00921F9B">
        <w:rPr>
          <w:rFonts w:ascii="Calibri" w:hAnsi="Calibri" w:cs="Calibri"/>
          <w:b/>
          <w:bCs/>
          <w:lang w:val="en-GB"/>
        </w:rPr>
        <w:t>Takwîn:</w:t>
      </w:r>
      <w:r w:rsidRPr="00921F9B">
        <w:rPr>
          <w:rFonts w:ascii="Calibri" w:hAnsi="Calibri" w:cs="Calibri"/>
          <w:lang w:val="en-GB"/>
        </w:rPr>
        <w:t xml:space="preserve"> One of the affirmative attributes (</w:t>
      </w:r>
      <w:r w:rsidRPr="00921F9B">
        <w:rPr>
          <w:rFonts w:ascii="Calibri" w:hAnsi="Calibri" w:cs="Calibri"/>
          <w:i/>
          <w:iCs/>
          <w:lang w:val="en-GB"/>
        </w:rPr>
        <w:t>as-sifât ath-thubûtiyyah</w:t>
      </w:r>
      <w:r w:rsidRPr="00921F9B">
        <w:rPr>
          <w:rFonts w:ascii="Calibri" w:hAnsi="Calibri" w:cs="Calibri"/>
          <w:lang w:val="en-GB"/>
        </w:rPr>
        <w:t>) of Allah, which signifies His bringing everything from non-existence (</w:t>
      </w:r>
      <w:r w:rsidRPr="00921F9B">
        <w:rPr>
          <w:rFonts w:ascii="Calibri" w:hAnsi="Calibri" w:cs="Calibri"/>
          <w:i/>
          <w:iCs/>
          <w:lang w:val="en-GB"/>
        </w:rPr>
        <w:t>‘adam</w:t>
      </w:r>
      <w:r w:rsidRPr="00921F9B">
        <w:rPr>
          <w:rFonts w:ascii="Calibri" w:hAnsi="Calibri" w:cs="Calibri"/>
          <w:lang w:val="en-GB"/>
        </w:rPr>
        <w:t>) into existence (</w:t>
      </w:r>
      <w:r w:rsidRPr="00921F9B">
        <w:rPr>
          <w:rFonts w:ascii="Calibri" w:hAnsi="Calibri" w:cs="Calibri"/>
          <w:i/>
          <w:iCs/>
          <w:lang w:val="en-GB"/>
        </w:rPr>
        <w:t>wujûd</w:t>
      </w:r>
      <w:r w:rsidRPr="00921F9B">
        <w:rPr>
          <w:rFonts w:ascii="Calibri" w:hAnsi="Calibri" w:cs="Calibri"/>
          <w:lang w:val="en-GB"/>
        </w:rPr>
        <w:t>).</w:t>
      </w:r>
    </w:p>
    <w:p w14:paraId="4ABA19A8" w14:textId="77777777" w:rsidR="00AE37D5" w:rsidRPr="00921F9B" w:rsidRDefault="00AE37D5" w:rsidP="00AE37D5">
      <w:pPr>
        <w:numPr>
          <w:ilvl w:val="0"/>
          <w:numId w:val="1"/>
        </w:numPr>
        <w:spacing w:before="120"/>
        <w:jc w:val="both"/>
        <w:rPr>
          <w:rFonts w:ascii="Calibri" w:hAnsi="Calibri" w:cs="Calibri"/>
          <w:lang w:val="en-GB"/>
        </w:rPr>
      </w:pPr>
      <w:r w:rsidRPr="00921F9B">
        <w:rPr>
          <w:rFonts w:ascii="Calibri" w:hAnsi="Calibri" w:cs="Calibri"/>
          <w:b/>
          <w:bCs/>
          <w:lang w:val="en-GB"/>
        </w:rPr>
        <w:t>Takwînî:</w:t>
      </w:r>
      <w:r w:rsidRPr="00921F9B">
        <w:rPr>
          <w:rFonts w:ascii="Calibri" w:hAnsi="Calibri" w:cs="Calibri"/>
          <w:lang w:val="en-GB"/>
        </w:rPr>
        <w:t xml:space="preserve"> Pertaining to the creation of Allah or related to the act of bringing into existence; creative.</w:t>
      </w:r>
    </w:p>
    <w:p w14:paraId="60772DDA" w14:textId="77777777" w:rsidR="00AE37D5" w:rsidRDefault="00AE37D5" w:rsidP="00AE37D5">
      <w:pPr>
        <w:numPr>
          <w:ilvl w:val="0"/>
          <w:numId w:val="1"/>
        </w:numPr>
        <w:spacing w:before="120"/>
        <w:jc w:val="both"/>
        <w:rPr>
          <w:rFonts w:ascii="Calibri" w:hAnsi="Calibri" w:cs="Calibri"/>
          <w:lang w:val="en-GB"/>
        </w:rPr>
      </w:pPr>
      <w:r w:rsidRPr="00921F9B">
        <w:rPr>
          <w:rFonts w:ascii="Calibri" w:hAnsi="Calibri" w:cs="Calibri"/>
          <w:b/>
          <w:bCs/>
          <w:lang w:val="en-GB"/>
        </w:rPr>
        <w:t>Takwînî Sharî’ah:</w:t>
      </w:r>
      <w:r w:rsidRPr="00921F9B">
        <w:rPr>
          <w:rFonts w:ascii="Calibri" w:hAnsi="Calibri" w:cs="Calibri"/>
          <w:lang w:val="en-GB"/>
        </w:rPr>
        <w:t xml:space="preserve"> Also referred to as the </w:t>
      </w:r>
      <w:r w:rsidRPr="00921F9B">
        <w:rPr>
          <w:rFonts w:ascii="Calibri" w:hAnsi="Calibri" w:cs="Calibri"/>
          <w:i/>
          <w:iCs/>
          <w:lang w:val="en-GB"/>
        </w:rPr>
        <w:t>Sunnatullah</w:t>
      </w:r>
      <w:r w:rsidRPr="00921F9B">
        <w:rPr>
          <w:rFonts w:ascii="Calibri" w:hAnsi="Calibri" w:cs="Calibri"/>
          <w:lang w:val="en-GB"/>
        </w:rPr>
        <w:t xml:space="preserve">, the </w:t>
      </w:r>
      <w:r w:rsidRPr="00921F9B">
        <w:rPr>
          <w:rFonts w:ascii="Calibri" w:hAnsi="Calibri" w:cs="Calibri"/>
          <w:i/>
          <w:iCs/>
          <w:lang w:val="en-GB"/>
        </w:rPr>
        <w:t xml:space="preserve">Sharî‘ah of </w:t>
      </w:r>
      <w:hyperlink r:id="rId7" w:history="1">
        <w:r w:rsidRPr="00921F9B">
          <w:rPr>
            <w:rStyle w:val="Hyperlink"/>
            <w:rFonts w:ascii="Calibri" w:hAnsi="Calibri" w:cs="Calibri"/>
            <w:i/>
            <w:iCs/>
            <w:lang w:val="en-GB"/>
          </w:rPr>
          <w:t>fitrah</w:t>
        </w:r>
      </w:hyperlink>
      <w:r w:rsidRPr="00921F9B">
        <w:rPr>
          <w:rFonts w:ascii="Calibri" w:hAnsi="Calibri" w:cs="Calibri"/>
          <w:lang w:val="en-GB"/>
        </w:rPr>
        <w:t xml:space="preserve">, or </w:t>
      </w:r>
      <w:r w:rsidRPr="00921F9B">
        <w:rPr>
          <w:rFonts w:ascii="Calibri" w:hAnsi="Calibri" w:cs="Calibri"/>
          <w:i/>
          <w:iCs/>
          <w:lang w:val="en-GB"/>
        </w:rPr>
        <w:t>‘Âdâtullah</w:t>
      </w:r>
      <w:r w:rsidRPr="00921F9B">
        <w:rPr>
          <w:rFonts w:ascii="Calibri" w:hAnsi="Calibri" w:cs="Calibri"/>
          <w:lang w:val="en-GB"/>
        </w:rPr>
        <w:t>, it encompasses the creational laws of Allah aris</w:t>
      </w:r>
      <w:r>
        <w:rPr>
          <w:rFonts w:ascii="Calibri" w:hAnsi="Calibri" w:cs="Calibri"/>
          <w:lang w:val="en-GB"/>
        </w:rPr>
        <w:t>ing</w:t>
      </w:r>
      <w:r w:rsidRPr="00921F9B">
        <w:rPr>
          <w:rFonts w:ascii="Calibri" w:hAnsi="Calibri" w:cs="Calibri"/>
          <w:lang w:val="en-GB"/>
        </w:rPr>
        <w:t xml:space="preserve"> from His attribute of </w:t>
      </w:r>
      <w:hyperlink r:id="rId8" w:history="1">
        <w:r w:rsidRPr="00921F9B">
          <w:rPr>
            <w:rStyle w:val="Hyperlink"/>
            <w:rFonts w:ascii="Calibri" w:hAnsi="Calibri" w:cs="Calibri"/>
            <w:i/>
            <w:iCs/>
            <w:lang w:val="en-GB"/>
          </w:rPr>
          <w:t>Irâdah</w:t>
        </w:r>
      </w:hyperlink>
      <w:r w:rsidRPr="00921F9B">
        <w:rPr>
          <w:rFonts w:ascii="Calibri" w:hAnsi="Calibri" w:cs="Calibri"/>
          <w:lang w:val="en-GB"/>
        </w:rPr>
        <w:t xml:space="preserve">. This term designates the title of the </w:t>
      </w:r>
      <w:proofErr w:type="gramStart"/>
      <w:r w:rsidRPr="00921F9B">
        <w:rPr>
          <w:rFonts w:ascii="Calibri" w:hAnsi="Calibri" w:cs="Calibri"/>
          <w:i/>
          <w:iCs/>
          <w:lang w:val="en-GB"/>
        </w:rPr>
        <w:t>Sharî‘</w:t>
      </w:r>
      <w:proofErr w:type="gramEnd"/>
      <w:r w:rsidRPr="00921F9B">
        <w:rPr>
          <w:rFonts w:ascii="Calibri" w:hAnsi="Calibri" w:cs="Calibri"/>
          <w:i/>
          <w:iCs/>
          <w:lang w:val="en-GB"/>
        </w:rPr>
        <w:t>ah</w:t>
      </w:r>
      <w:r w:rsidRPr="00921F9B">
        <w:rPr>
          <w:rFonts w:ascii="Calibri" w:hAnsi="Calibri" w:cs="Calibri"/>
          <w:lang w:val="en-GB"/>
        </w:rPr>
        <w:t xml:space="preserve"> </w:t>
      </w:r>
      <w:r>
        <w:rPr>
          <w:rFonts w:ascii="Calibri" w:hAnsi="Calibri" w:cs="Calibri"/>
          <w:lang w:val="en-GB"/>
        </w:rPr>
        <w:t>that</w:t>
      </w:r>
      <w:r w:rsidRPr="00921F9B">
        <w:rPr>
          <w:rFonts w:ascii="Calibri" w:hAnsi="Calibri" w:cs="Calibri"/>
          <w:lang w:val="en-GB"/>
        </w:rPr>
        <w:t xml:space="preserve"> pertains to the stable and permanent laws, orders and commandments of Allah that arrange, govern and organi</w:t>
      </w:r>
      <w:r>
        <w:rPr>
          <w:rFonts w:ascii="Calibri" w:hAnsi="Calibri" w:cs="Calibri"/>
          <w:lang w:val="en-GB"/>
        </w:rPr>
        <w:t>s</w:t>
      </w:r>
      <w:r w:rsidRPr="00921F9B">
        <w:rPr>
          <w:rFonts w:ascii="Calibri" w:hAnsi="Calibri" w:cs="Calibri"/>
          <w:lang w:val="en-GB"/>
        </w:rPr>
        <w:t>e the creation and actions of each living and non-living creature within the</w:t>
      </w:r>
      <w:r>
        <w:rPr>
          <w:rFonts w:ascii="Calibri" w:hAnsi="Calibri" w:cs="Calibri"/>
          <w:lang w:val="en-GB"/>
        </w:rPr>
        <w:t xml:space="preserve"> universe</w:t>
      </w:r>
      <w:r w:rsidRPr="00921F9B">
        <w:rPr>
          <w:rFonts w:ascii="Calibri" w:hAnsi="Calibri" w:cs="Calibri"/>
          <w:lang w:val="en-GB"/>
        </w:rPr>
        <w:t xml:space="preserve">. These laws are wrongly called “nature” or “the laws of nature” by the people of </w:t>
      </w:r>
      <w:hyperlink r:id="rId9" w:history="1">
        <w:r w:rsidRPr="00921F9B">
          <w:rPr>
            <w:rStyle w:val="Hyperlink"/>
            <w:rFonts w:ascii="Calibri" w:hAnsi="Calibri" w:cs="Calibri"/>
            <w:i/>
            <w:iCs/>
            <w:lang w:val="en-GB"/>
          </w:rPr>
          <w:t>ghaflah</w:t>
        </w:r>
      </w:hyperlink>
      <w:r w:rsidRPr="00921F9B">
        <w:rPr>
          <w:rFonts w:ascii="Calibri" w:hAnsi="Calibri" w:cs="Calibri"/>
          <w:lang w:val="en-GB"/>
        </w:rPr>
        <w:t xml:space="preserve"> and </w:t>
      </w:r>
      <w:hyperlink r:id="rId10" w:history="1">
        <w:r w:rsidRPr="00921F9B">
          <w:rPr>
            <w:rStyle w:val="Hyperlink"/>
            <w:rFonts w:ascii="Calibri" w:hAnsi="Calibri" w:cs="Calibri"/>
            <w:i/>
            <w:iCs/>
            <w:lang w:val="en-GB"/>
          </w:rPr>
          <w:t>dhalâlah</w:t>
        </w:r>
      </w:hyperlink>
      <w:r w:rsidRPr="00921F9B">
        <w:rPr>
          <w:rFonts w:ascii="Calibri" w:hAnsi="Calibri" w:cs="Calibri"/>
          <w:lang w:val="en-GB"/>
        </w:rPr>
        <w:t>.</w:t>
      </w:r>
    </w:p>
    <w:p w14:paraId="5726ECA5" w14:textId="77777777" w:rsidR="00AE37D5" w:rsidRPr="00921F9B" w:rsidRDefault="00AE37D5" w:rsidP="00AE37D5">
      <w:pPr>
        <w:spacing w:before="120"/>
        <w:ind w:left="720"/>
        <w:jc w:val="both"/>
        <w:rPr>
          <w:rFonts w:ascii="Calibri" w:hAnsi="Calibri" w:cs="Calibri"/>
          <w:lang w:val="en-GB"/>
        </w:rPr>
      </w:pPr>
      <w:r w:rsidRPr="001019B0">
        <w:rPr>
          <w:rFonts w:ascii="Calibri" w:hAnsi="Calibri" w:cs="Calibri"/>
        </w:rPr>
        <w:t xml:space="preserve">For example, principles such as gravity, buoyancy and density, or the law by which hydrogen and oxygen combine to form water, belong to this realm. These creational laws, designated as </w:t>
      </w:r>
      <w:r w:rsidRPr="001019B0">
        <w:rPr>
          <w:rFonts w:ascii="Calibri" w:hAnsi="Calibri" w:cs="Calibri"/>
          <w:i/>
          <w:iCs/>
        </w:rPr>
        <w:t>Takwînî Sharî’ah</w:t>
      </w:r>
      <w:r>
        <w:rPr>
          <w:rFonts w:ascii="Calibri" w:hAnsi="Calibri" w:cs="Calibri"/>
        </w:rPr>
        <w:t xml:space="preserve"> yet </w:t>
      </w:r>
      <w:r w:rsidRPr="001019B0">
        <w:rPr>
          <w:rFonts w:ascii="Calibri" w:hAnsi="Calibri" w:cs="Calibri"/>
        </w:rPr>
        <w:t>misconstrued as 'laws of nature'</w:t>
      </w:r>
      <w:r>
        <w:rPr>
          <w:rFonts w:ascii="Calibri" w:hAnsi="Calibri" w:cs="Calibri"/>
        </w:rPr>
        <w:t xml:space="preserve">, </w:t>
      </w:r>
      <w:r w:rsidRPr="001019B0">
        <w:rPr>
          <w:rFonts w:ascii="Calibri" w:hAnsi="Calibri" w:cs="Calibri"/>
        </w:rPr>
        <w:t>possess only a nominal existence; they have no independent physical substance, material reality or autonomous power of execution</w:t>
      </w:r>
      <w:r>
        <w:rPr>
          <w:rFonts w:ascii="Calibri" w:hAnsi="Calibri" w:cs="Calibri"/>
        </w:rPr>
        <w:t>.</w:t>
      </w:r>
    </w:p>
    <w:bookmarkEnd w:id="1"/>
    <w:p w14:paraId="0B5157BA" w14:textId="77777777" w:rsidR="00AE37D5" w:rsidRPr="00921F9B" w:rsidRDefault="00AE37D5" w:rsidP="00AE37D5">
      <w:pPr>
        <w:spacing w:before="120"/>
        <w:jc w:val="both"/>
        <w:rPr>
          <w:rFonts w:ascii="Calibri" w:hAnsi="Calibri" w:cs="Calibri"/>
          <w:i/>
          <w:iCs/>
          <w:color w:val="000000"/>
          <w:lang w:val="en-GB"/>
        </w:rPr>
      </w:pPr>
      <w:r w:rsidRPr="00921F9B">
        <w:rPr>
          <w:rFonts w:ascii="Calibri" w:hAnsi="Calibri" w:cs="Calibri"/>
          <w:i/>
          <w:iCs/>
          <w:lang w:val="en-GB"/>
        </w:rPr>
        <w:t xml:space="preserve">(For further explanation, please refer to </w:t>
      </w:r>
      <w:hyperlink r:id="rId11" w:history="1">
        <w:r w:rsidRPr="0050535A">
          <w:rPr>
            <w:rStyle w:val="Hyperlink"/>
            <w:rFonts w:ascii="Calibri" w:hAnsi="Calibri" w:cs="Calibri"/>
            <w:i/>
            <w:iCs/>
            <w:lang w:val="en-GB"/>
          </w:rPr>
          <w:t>the Risale on Nature-23rd Flash</w:t>
        </w:r>
      </w:hyperlink>
      <w:r w:rsidRPr="00921F9B">
        <w:rPr>
          <w:rFonts w:ascii="Calibri" w:hAnsi="Calibri" w:cs="Calibri"/>
          <w:i/>
          <w:iCs/>
          <w:lang w:val="en-GB"/>
        </w:rPr>
        <w:t>.)</w:t>
      </w:r>
    </w:p>
    <w:p w14:paraId="4A9F2F9F" w14:textId="77777777" w:rsidR="00AE37D5" w:rsidRPr="00921F9B" w:rsidRDefault="00AE37D5" w:rsidP="00AE37D5">
      <w:pPr>
        <w:spacing w:before="120"/>
        <w:jc w:val="both"/>
        <w:rPr>
          <w:rFonts w:ascii="Calibri" w:hAnsi="Calibri" w:cs="Calibri"/>
          <w:b/>
          <w:bCs/>
          <w:i/>
          <w:iCs/>
          <w:color w:val="000000"/>
          <w:lang w:val="en-GB"/>
        </w:rPr>
      </w:pPr>
      <w:r w:rsidRPr="00921F9B">
        <w:rPr>
          <w:rFonts w:ascii="Calibri" w:hAnsi="Calibri" w:cs="Calibri"/>
          <w:b/>
          <w:bCs/>
          <w:i/>
          <w:iCs/>
          <w:color w:val="000000"/>
          <w:lang w:val="en-GB"/>
        </w:rPr>
        <w:t xml:space="preserve">Excerpts from the Risale-i Nur that elucidate this </w:t>
      </w:r>
      <w:hyperlink r:id="rId12" w:history="1">
        <w:r w:rsidRPr="0050535A">
          <w:rPr>
            <w:rStyle w:val="Hyperlink"/>
            <w:rFonts w:ascii="Calibri" w:hAnsi="Calibri" w:cs="Calibri"/>
            <w:b/>
            <w:bCs/>
            <w:i/>
            <w:iCs/>
            <w:lang w:val="en-GB"/>
          </w:rPr>
          <w:t>haqiqah</w:t>
        </w:r>
      </w:hyperlink>
      <w:r w:rsidRPr="00921F9B">
        <w:rPr>
          <w:rFonts w:ascii="Calibri" w:hAnsi="Calibri" w:cs="Calibri"/>
          <w:b/>
          <w:bCs/>
          <w:i/>
          <w:iCs/>
          <w:color w:val="000000"/>
          <w:lang w:val="en-GB"/>
        </w:rPr>
        <w:t>:</w:t>
      </w:r>
    </w:p>
    <w:p w14:paraId="57F2B150" w14:textId="77777777" w:rsidR="00AE37D5" w:rsidRPr="00921F9B" w:rsidRDefault="00AE37D5" w:rsidP="00AE37D5">
      <w:pPr>
        <w:spacing w:before="120"/>
        <w:jc w:val="both"/>
        <w:rPr>
          <w:rFonts w:ascii="Calibri" w:hAnsi="Calibri" w:cs="Calibri"/>
          <w:color w:val="000000"/>
          <w:lang w:val="en-GB"/>
        </w:rPr>
      </w:pPr>
      <w:r w:rsidRPr="00921F9B">
        <w:rPr>
          <w:rFonts w:ascii="Calibri" w:hAnsi="Calibri" w:cs="Calibri"/>
          <w:lang w:val="en-GB"/>
        </w:rPr>
        <w:t xml:space="preserve">There are </w:t>
      </w:r>
      <w:r w:rsidRPr="00921F9B">
        <w:rPr>
          <w:rFonts w:ascii="Calibri" w:hAnsi="Calibri" w:cs="Calibri"/>
          <w:color w:val="000000"/>
          <w:lang w:val="en-GB"/>
        </w:rPr>
        <w:t>two distinct manifestations of Sharî’ah</w:t>
      </w:r>
      <w:r w:rsidRPr="00921F9B">
        <w:rPr>
          <w:rFonts w:ascii="Calibri" w:hAnsi="Calibri" w:cs="Calibri"/>
          <w:lang w:val="en-GB"/>
        </w:rPr>
        <w:t xml:space="preserve"> arising from two attributes of perfection belonging to the Zuljalâl One</w:t>
      </w:r>
      <w:r w:rsidRPr="00921F9B">
        <w:rPr>
          <w:rFonts w:ascii="Calibri" w:hAnsi="Calibri" w:cs="Calibri"/>
          <w:color w:val="000000"/>
          <w:lang w:val="en-GB"/>
        </w:rPr>
        <w:t xml:space="preserve">: </w:t>
      </w:r>
    </w:p>
    <w:p w14:paraId="14894001" w14:textId="77777777" w:rsidR="00AE37D5" w:rsidRPr="00921F9B" w:rsidRDefault="00AE37D5" w:rsidP="00AE37D5">
      <w:pPr>
        <w:spacing w:before="120"/>
        <w:jc w:val="both"/>
        <w:rPr>
          <w:rFonts w:ascii="Calibri" w:hAnsi="Calibri" w:cs="Calibri"/>
          <w:lang w:val="en-GB"/>
        </w:rPr>
      </w:pPr>
      <w:r w:rsidRPr="00921F9B">
        <w:rPr>
          <w:rFonts w:ascii="Calibri" w:hAnsi="Calibri" w:cs="Calibri"/>
          <w:color w:val="000000"/>
          <w:lang w:val="en-GB"/>
        </w:rPr>
        <w:t>T</w:t>
      </w:r>
      <w:r w:rsidRPr="00921F9B">
        <w:rPr>
          <w:rFonts w:ascii="Calibri" w:hAnsi="Calibri" w:cs="Calibri"/>
          <w:lang w:val="en-GB"/>
        </w:rPr>
        <w:t>he determining through the execution of the attribute of Irâdah, and that is the Takwînî Sharî’ah; And the well-known Sharî’ah arising from the attribute of Kalâm.</w:t>
      </w:r>
    </w:p>
    <w:p w14:paraId="70691617" w14:textId="77777777" w:rsidR="00AE37D5" w:rsidRPr="00921F9B" w:rsidRDefault="00AE37D5" w:rsidP="00AE37D5">
      <w:pPr>
        <w:spacing w:before="120"/>
        <w:jc w:val="both"/>
        <w:rPr>
          <w:rFonts w:ascii="Calibri" w:hAnsi="Calibri" w:cs="Calibri"/>
          <w:lang w:val="en-GB"/>
        </w:rPr>
      </w:pPr>
      <w:r w:rsidRPr="00921F9B">
        <w:rPr>
          <w:rFonts w:ascii="Calibri" w:hAnsi="Calibri" w:cs="Calibri"/>
          <w:lang w:val="en-GB"/>
        </w:rPr>
        <w:t>Just as there are obedience and rebellion to the commands of the revealed Sharî’ah, so there are obedience and rebellion to the Takwînî commands.</w:t>
      </w:r>
    </w:p>
    <w:p w14:paraId="0A81653F" w14:textId="77777777" w:rsidR="00AE37D5" w:rsidRPr="00921F9B" w:rsidRDefault="00AE37D5" w:rsidP="00AE37D5">
      <w:pPr>
        <w:spacing w:before="120"/>
        <w:jc w:val="both"/>
        <w:rPr>
          <w:rFonts w:ascii="Calibri" w:hAnsi="Calibri" w:cs="Calibri"/>
          <w:lang w:val="en-GB"/>
        </w:rPr>
      </w:pPr>
      <w:r w:rsidRPr="00921F9B">
        <w:rPr>
          <w:rFonts w:ascii="Calibri" w:hAnsi="Calibri" w:cs="Calibri"/>
          <w:lang w:val="en-GB"/>
        </w:rPr>
        <w:t xml:space="preserve">The sawâb and punishment for the former </w:t>
      </w:r>
      <w:proofErr w:type="gramStart"/>
      <w:r w:rsidRPr="00921F9B">
        <w:rPr>
          <w:rFonts w:ascii="Calibri" w:hAnsi="Calibri" w:cs="Calibri"/>
          <w:lang w:val="en-GB"/>
        </w:rPr>
        <w:t>are</w:t>
      </w:r>
      <w:proofErr w:type="gramEnd"/>
      <w:r w:rsidRPr="00921F9B">
        <w:rPr>
          <w:rFonts w:ascii="Calibri" w:hAnsi="Calibri" w:cs="Calibri"/>
          <w:lang w:val="en-GB"/>
        </w:rPr>
        <w:t xml:space="preserve"> received mostly in the âkhirah, while the rewards and punishment of the latter are suffered mostly in the realm of this world.</w:t>
      </w:r>
    </w:p>
    <w:p w14:paraId="2115E327" w14:textId="77777777" w:rsidR="00AE37D5" w:rsidRPr="00921F9B" w:rsidRDefault="00AE37D5" w:rsidP="00AE37D5">
      <w:pPr>
        <w:spacing w:before="120"/>
        <w:jc w:val="both"/>
        <w:rPr>
          <w:rFonts w:ascii="Calibri" w:hAnsi="Calibri" w:cs="Calibri"/>
          <w:lang w:val="en-GB"/>
        </w:rPr>
      </w:pPr>
      <w:r w:rsidRPr="00921F9B">
        <w:rPr>
          <w:rFonts w:ascii="Calibri" w:hAnsi="Calibri" w:cs="Calibri"/>
          <w:lang w:val="en-GB"/>
        </w:rPr>
        <w:lastRenderedPageBreak/>
        <w:t>For example, just as the reward of patience is victory. The punishment of laziness is poverty; So too, the reward of endeavour is wealth.</w:t>
      </w:r>
    </w:p>
    <w:p w14:paraId="5FB80AA9" w14:textId="77777777" w:rsidR="00AE37D5" w:rsidRPr="00921F9B" w:rsidRDefault="00AE37D5" w:rsidP="00AE37D5">
      <w:pPr>
        <w:spacing w:before="120"/>
        <w:jc w:val="both"/>
        <w:rPr>
          <w:rFonts w:ascii="Calibri" w:hAnsi="Calibri" w:cs="Calibri"/>
          <w:lang w:val="en-GB"/>
        </w:rPr>
      </w:pPr>
      <w:r w:rsidRPr="00921F9B">
        <w:rPr>
          <w:rFonts w:ascii="Calibri" w:hAnsi="Calibri" w:cs="Calibri"/>
          <w:lang w:val="en-GB"/>
        </w:rPr>
        <w:t>In steadfastness, triumph is the reward. The punishment of poison is illness; The reward of its antidote is health.</w:t>
      </w:r>
    </w:p>
    <w:p w14:paraId="327DD7C7" w14:textId="77777777" w:rsidR="00AE37D5" w:rsidRPr="00921F9B" w:rsidRDefault="00AE37D5" w:rsidP="00AE37D5">
      <w:pPr>
        <w:spacing w:before="120"/>
        <w:jc w:val="both"/>
        <w:rPr>
          <w:rFonts w:ascii="Calibri" w:hAnsi="Calibri" w:cs="Calibri"/>
          <w:lang w:val="en-GB"/>
        </w:rPr>
      </w:pPr>
      <w:r w:rsidRPr="00921F9B">
        <w:rPr>
          <w:rFonts w:ascii="Calibri" w:hAnsi="Calibri" w:cs="Calibri"/>
          <w:lang w:val="en-GB"/>
        </w:rPr>
        <w:t>Sometimes, the commands of both Sharî’ahs are united in a single thing that has aspects looking to each.</w:t>
      </w:r>
    </w:p>
    <w:p w14:paraId="20CBB3BA" w14:textId="77777777" w:rsidR="00AE37D5" w:rsidRPr="00921F9B" w:rsidRDefault="00AE37D5" w:rsidP="00AE37D5">
      <w:pPr>
        <w:spacing w:before="120"/>
        <w:jc w:val="right"/>
        <w:rPr>
          <w:rFonts w:ascii="Calibri" w:hAnsi="Calibri" w:cs="Calibri"/>
          <w:lang w:val="en-GB"/>
        </w:rPr>
      </w:pPr>
      <w:r w:rsidRPr="00921F9B">
        <w:rPr>
          <w:rFonts w:ascii="Calibri" w:hAnsi="Calibri" w:cs="Calibri"/>
          <w:lang w:val="en-GB"/>
        </w:rPr>
        <w:t>The Gleams</w:t>
      </w:r>
    </w:p>
    <w:p w14:paraId="41BAB685" w14:textId="77777777" w:rsidR="00AE37D5" w:rsidRPr="00921F9B" w:rsidRDefault="00AE37D5" w:rsidP="00AE37D5">
      <w:pPr>
        <w:spacing w:before="120"/>
        <w:jc w:val="both"/>
        <w:rPr>
          <w:rFonts w:ascii="Calibri" w:hAnsi="Calibri" w:cs="Calibri"/>
          <w:lang w:val="en-GB"/>
        </w:rPr>
      </w:pPr>
    </w:p>
    <w:p w14:paraId="32F8DEE3" w14:textId="77777777" w:rsidR="00AE37D5" w:rsidRPr="00921F9B" w:rsidRDefault="00AE37D5" w:rsidP="00AE37D5">
      <w:pPr>
        <w:spacing w:before="120"/>
        <w:jc w:val="center"/>
        <w:rPr>
          <w:rFonts w:ascii="Calibri" w:hAnsi="Calibri" w:cs="Calibri"/>
          <w:lang w:val="en-GB"/>
        </w:rPr>
      </w:pPr>
      <w:r w:rsidRPr="00921F9B">
        <w:rPr>
          <w:rFonts w:ascii="Calibri" w:hAnsi="Calibri" w:cs="Calibri"/>
          <w:b/>
          <w:bCs/>
          <w:lang w:val="en-GB"/>
        </w:rPr>
        <w:t xml:space="preserve">The Malâikah are an Ummah, </w:t>
      </w:r>
      <w:proofErr w:type="gramStart"/>
      <w:r w:rsidRPr="00921F9B">
        <w:rPr>
          <w:rFonts w:ascii="Calibri" w:hAnsi="Calibri" w:cs="Calibri"/>
          <w:b/>
          <w:bCs/>
          <w:lang w:val="en-GB"/>
        </w:rPr>
        <w:t>Who</w:t>
      </w:r>
      <w:proofErr w:type="gramEnd"/>
      <w:r w:rsidRPr="00921F9B">
        <w:rPr>
          <w:rFonts w:ascii="Calibri" w:hAnsi="Calibri" w:cs="Calibri"/>
          <w:b/>
          <w:bCs/>
          <w:lang w:val="en-GB"/>
        </w:rPr>
        <w:t xml:space="preserve"> are Employed with the Sharî’ah of Fitrah</w:t>
      </w:r>
    </w:p>
    <w:p w14:paraId="108B8AC0" w14:textId="77777777" w:rsidR="00AE37D5" w:rsidRPr="00921F9B" w:rsidRDefault="00AE37D5" w:rsidP="00AE37D5">
      <w:pPr>
        <w:spacing w:before="120"/>
        <w:jc w:val="both"/>
        <w:rPr>
          <w:rFonts w:ascii="Calibri" w:hAnsi="Calibri" w:cs="Calibri"/>
          <w:lang w:val="en-GB"/>
        </w:rPr>
      </w:pPr>
      <w:r w:rsidRPr="00921F9B">
        <w:rPr>
          <w:rFonts w:ascii="Calibri" w:hAnsi="Calibri" w:cs="Calibri"/>
          <w:lang w:val="en-GB"/>
        </w:rPr>
        <w:t>There are two Ilahî Sharî’ahs that arise from two Attributes; two forms of "man"</w:t>
      </w:r>
      <w:r w:rsidRPr="00921F9B">
        <w:rPr>
          <w:rFonts w:ascii="Calibri" w:hAnsi="Calibri" w:cs="Calibri"/>
          <w:b/>
          <w:bCs/>
          <w:lang w:val="en-GB"/>
        </w:rPr>
        <w:t xml:space="preserve"> </w:t>
      </w:r>
      <w:r w:rsidRPr="00921F9B">
        <w:rPr>
          <w:rFonts w:ascii="Calibri" w:hAnsi="Calibri" w:cs="Calibri"/>
          <w:lang w:val="en-GB"/>
        </w:rPr>
        <w:t xml:space="preserve">are both addressed by them and bound by their obligations. </w:t>
      </w:r>
    </w:p>
    <w:p w14:paraId="5456AAE3" w14:textId="77777777" w:rsidR="00AE37D5" w:rsidRPr="00921F9B" w:rsidRDefault="00AE37D5" w:rsidP="00AE37D5">
      <w:pPr>
        <w:spacing w:before="120"/>
        <w:jc w:val="both"/>
        <w:rPr>
          <w:rFonts w:ascii="Calibri" w:hAnsi="Calibri" w:cs="Calibri"/>
          <w:lang w:val="en-GB"/>
        </w:rPr>
      </w:pPr>
      <w:r w:rsidRPr="00921F9B">
        <w:rPr>
          <w:rFonts w:ascii="Calibri" w:hAnsi="Calibri" w:cs="Calibri"/>
          <w:lang w:val="en-GB"/>
        </w:rPr>
        <w:t>The takwînî Sharî’ah, arising from the Attribute of Irâdah, is the law that organises the states and involuntary movements of the ‘âlam, which is the vast man. It is the execution of Rabbânî Irâdah, which is erroneously misnamed as "nature" through a faulty terminology.</w:t>
      </w:r>
    </w:p>
    <w:p w14:paraId="1BE696B7" w14:textId="77777777" w:rsidR="00AE37D5" w:rsidRPr="00921F9B" w:rsidRDefault="00AE37D5" w:rsidP="00AE37D5">
      <w:pPr>
        <w:spacing w:before="120"/>
        <w:jc w:val="both"/>
        <w:rPr>
          <w:rFonts w:ascii="Calibri" w:hAnsi="Calibri" w:cs="Calibri"/>
          <w:lang w:val="en-GB"/>
        </w:rPr>
      </w:pPr>
      <w:r w:rsidRPr="00921F9B">
        <w:rPr>
          <w:rFonts w:ascii="Calibri" w:hAnsi="Calibri" w:cs="Calibri"/>
          <w:lang w:val="en-GB"/>
        </w:rPr>
        <w:t xml:space="preserve">As for the Sharî’ah arising from the attribute of Kalâm, it is the law that organises the voluntary actions of man, which is the minute ‘âlam. These two </w:t>
      </w:r>
      <w:proofErr w:type="gramStart"/>
      <w:r w:rsidRPr="00921F9B">
        <w:rPr>
          <w:rFonts w:ascii="Calibri" w:hAnsi="Calibri" w:cs="Calibri"/>
          <w:i/>
          <w:iCs/>
          <w:lang w:val="en-GB"/>
        </w:rPr>
        <w:t>Sharî‘</w:t>
      </w:r>
      <w:proofErr w:type="gramEnd"/>
      <w:r w:rsidRPr="00921F9B">
        <w:rPr>
          <w:rFonts w:ascii="Calibri" w:hAnsi="Calibri" w:cs="Calibri"/>
          <w:i/>
          <w:iCs/>
          <w:lang w:val="en-GB"/>
        </w:rPr>
        <w:t>ahs</w:t>
      </w:r>
      <w:r w:rsidRPr="00921F9B">
        <w:rPr>
          <w:rFonts w:ascii="Calibri" w:hAnsi="Calibri" w:cs="Calibri"/>
          <w:lang w:val="en-GB"/>
        </w:rPr>
        <w:t xml:space="preserve"> sometimes become united in the same place.</w:t>
      </w:r>
    </w:p>
    <w:p w14:paraId="7830B28F" w14:textId="77777777" w:rsidR="00AE37D5" w:rsidRPr="00921F9B" w:rsidRDefault="00AE37D5" w:rsidP="00AE37D5">
      <w:pPr>
        <w:spacing w:before="120"/>
        <w:jc w:val="both"/>
        <w:rPr>
          <w:rFonts w:ascii="Calibri" w:hAnsi="Calibri" w:cs="Calibri"/>
          <w:lang w:val="en-GB"/>
        </w:rPr>
      </w:pPr>
      <w:r w:rsidRPr="00921F9B">
        <w:rPr>
          <w:rFonts w:ascii="Calibri" w:hAnsi="Calibri" w:cs="Calibri"/>
          <w:lang w:val="en-GB"/>
        </w:rPr>
        <w:t>The malâikah of Allah are an immense ummah and an army of Subhân.</w:t>
      </w:r>
    </w:p>
    <w:p w14:paraId="7F3F0E1C" w14:textId="77777777" w:rsidR="00AE37D5" w:rsidRPr="00921F9B" w:rsidRDefault="00AE37D5" w:rsidP="00AE37D5">
      <w:pPr>
        <w:spacing w:before="120"/>
        <w:jc w:val="both"/>
        <w:rPr>
          <w:rFonts w:ascii="Calibri" w:hAnsi="Calibri" w:cs="Calibri"/>
          <w:lang w:val="en-GB"/>
        </w:rPr>
      </w:pPr>
      <w:r w:rsidRPr="00921F9B">
        <w:rPr>
          <w:rFonts w:ascii="Calibri" w:hAnsi="Calibri" w:cs="Calibri"/>
          <w:lang w:val="en-GB"/>
        </w:rPr>
        <w:t>They are obedient bearers and representative workers of that first Sharî’ah. Moreover, some of them are ‘abds performing tasbîh, while others are completely immersed (istighrâq</w:t>
      </w:r>
      <w:r w:rsidRPr="00921F9B">
        <w:rPr>
          <w:rStyle w:val="DipnotSabitleyicisi"/>
          <w:rFonts w:ascii="Calibri" w:hAnsi="Calibri" w:cs="Calibri"/>
          <w:lang w:val="en-GB"/>
        </w:rPr>
        <w:footnoteReference w:id="2"/>
      </w:r>
      <w:r w:rsidRPr="00921F9B">
        <w:rPr>
          <w:rFonts w:ascii="Calibri" w:hAnsi="Calibri" w:cs="Calibri"/>
          <w:lang w:val="en-GB"/>
        </w:rPr>
        <w:t>) as the muqarrabûn</w:t>
      </w:r>
      <w:r w:rsidRPr="00921F9B">
        <w:rPr>
          <w:rStyle w:val="FootnoteReference"/>
          <w:rFonts w:ascii="Calibri" w:hAnsi="Calibri" w:cs="Calibri"/>
          <w:lang w:val="en-GB"/>
        </w:rPr>
        <w:footnoteReference w:id="3"/>
      </w:r>
      <w:r w:rsidRPr="00921F9B">
        <w:rPr>
          <w:rFonts w:ascii="Calibri" w:hAnsi="Calibri" w:cs="Calibri"/>
          <w:lang w:val="en-GB"/>
        </w:rPr>
        <w:t xml:space="preserve"> of the ‘arsh.</w:t>
      </w:r>
    </w:p>
    <w:p w14:paraId="310D333F" w14:textId="77777777" w:rsidR="00AE37D5" w:rsidRPr="00921F9B" w:rsidRDefault="00AE37D5" w:rsidP="00AE37D5">
      <w:pPr>
        <w:spacing w:before="120"/>
        <w:jc w:val="right"/>
        <w:rPr>
          <w:rFonts w:ascii="Calibri" w:hAnsi="Calibri" w:cs="Calibri"/>
          <w:lang w:val="en-GB"/>
        </w:rPr>
      </w:pPr>
      <w:r w:rsidRPr="00921F9B">
        <w:rPr>
          <w:rFonts w:ascii="Calibri" w:hAnsi="Calibri" w:cs="Calibri"/>
          <w:lang w:val="en-GB"/>
        </w:rPr>
        <w:t>The Words – Gleams</w:t>
      </w:r>
    </w:p>
    <w:p w14:paraId="6273C117" w14:textId="77777777" w:rsidR="00AE37D5" w:rsidRPr="00921F9B" w:rsidRDefault="00AE37D5" w:rsidP="00AE37D5">
      <w:pPr>
        <w:rPr>
          <w:rFonts w:ascii="Calibri" w:hAnsi="Calibri" w:cs="Calibri"/>
          <w:lang w:val="en-GB"/>
        </w:rPr>
      </w:pPr>
    </w:p>
    <w:p w14:paraId="0DC37AF5" w14:textId="77777777" w:rsidR="00A25ED5" w:rsidRPr="00AE37D5" w:rsidRDefault="00A25ED5" w:rsidP="00AE37D5"/>
    <w:sectPr w:rsidR="00A25ED5" w:rsidRPr="00AE37D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D0754" w14:textId="77777777" w:rsidR="008A3340" w:rsidRDefault="008A3340" w:rsidP="00257E90">
      <w:r>
        <w:separator/>
      </w:r>
    </w:p>
  </w:endnote>
  <w:endnote w:type="continuationSeparator" w:id="0">
    <w:p w14:paraId="702E6252" w14:textId="77777777" w:rsidR="008A3340" w:rsidRDefault="008A3340" w:rsidP="00257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1D7E7" w14:textId="77777777" w:rsidR="008A3340" w:rsidRDefault="008A3340" w:rsidP="00257E90">
      <w:r>
        <w:separator/>
      </w:r>
    </w:p>
  </w:footnote>
  <w:footnote w:type="continuationSeparator" w:id="0">
    <w:p w14:paraId="4FAC03E0" w14:textId="77777777" w:rsidR="008A3340" w:rsidRDefault="008A3340" w:rsidP="00257E90">
      <w:r>
        <w:continuationSeparator/>
      </w:r>
    </w:p>
  </w:footnote>
  <w:footnote w:id="1">
    <w:p w14:paraId="1BE7D2C5" w14:textId="77777777" w:rsidR="00AE37D5" w:rsidRPr="0050535A" w:rsidRDefault="00AE37D5" w:rsidP="00AE37D5">
      <w:pPr>
        <w:spacing w:before="120"/>
        <w:jc w:val="both"/>
        <w:rPr>
          <w:rFonts w:ascii="Calibri" w:hAnsi="Calibri" w:cs="Calibri"/>
        </w:rPr>
      </w:pPr>
      <w:r w:rsidRPr="0050535A">
        <w:rPr>
          <w:rStyle w:val="FootnoteReference"/>
          <w:rFonts w:ascii="Calibri" w:hAnsi="Calibri" w:cs="Calibri"/>
        </w:rPr>
        <w:footnoteRef/>
      </w:r>
      <w:r w:rsidRPr="0050535A">
        <w:rPr>
          <w:rFonts w:ascii="Calibri" w:hAnsi="Calibri" w:cs="Calibri"/>
        </w:rPr>
        <w:t xml:space="preserve"> Surah Yâ-Sîn, 36:82; Surah Al-Baqarah, 2:117. The Qur’anic phrase “</w:t>
      </w:r>
      <w:r w:rsidRPr="0050535A">
        <w:rPr>
          <w:rFonts w:ascii="Calibri" w:hAnsi="Calibri" w:cs="Calibri"/>
          <w:color w:val="FF0000"/>
          <w:sz w:val="28"/>
          <w:szCs w:val="28"/>
          <w:rtl/>
        </w:rPr>
        <w:t>كُنْ فَيَكُونُ</w:t>
      </w:r>
      <w:r w:rsidRPr="0050535A">
        <w:rPr>
          <w:rFonts w:ascii="Calibri" w:hAnsi="Calibri" w:cs="Calibri"/>
        </w:rPr>
        <w:t xml:space="preserve">” (“Be!” and it is) expresses the absolute, effortless and instantaneous execution of Allah’s </w:t>
      </w:r>
      <w:r w:rsidRPr="0050535A">
        <w:rPr>
          <w:rFonts w:ascii="Calibri" w:hAnsi="Calibri" w:cs="Calibri"/>
          <w:i/>
          <w:iCs/>
        </w:rPr>
        <w:t>Irâdah</w:t>
      </w:r>
      <w:r w:rsidRPr="0050535A">
        <w:rPr>
          <w:rFonts w:ascii="Calibri" w:hAnsi="Calibri" w:cs="Calibri"/>
        </w:rPr>
        <w:t xml:space="preserve"> and </w:t>
      </w:r>
      <w:r w:rsidRPr="0050535A">
        <w:rPr>
          <w:rFonts w:ascii="Calibri" w:hAnsi="Calibri" w:cs="Calibri"/>
          <w:i/>
          <w:iCs/>
        </w:rPr>
        <w:t>Qoudrah</w:t>
      </w:r>
      <w:r w:rsidRPr="0050535A">
        <w:rPr>
          <w:rFonts w:ascii="Calibri" w:hAnsi="Calibri" w:cs="Calibri"/>
        </w:rPr>
        <w:t xml:space="preserve"> in bringing all things into existence out of absolute non-existence (</w:t>
      </w:r>
      <w:r w:rsidRPr="0050535A">
        <w:rPr>
          <w:rFonts w:ascii="Calibri" w:hAnsi="Calibri" w:cs="Calibri"/>
          <w:i/>
          <w:iCs/>
        </w:rPr>
        <w:t>‘adam</w:t>
      </w:r>
      <w:r w:rsidRPr="0050535A">
        <w:rPr>
          <w:rFonts w:ascii="Calibri" w:hAnsi="Calibri" w:cs="Calibri"/>
        </w:rPr>
        <w:t xml:space="preserve">). </w:t>
      </w:r>
    </w:p>
  </w:footnote>
  <w:footnote w:id="2">
    <w:p w14:paraId="278D9939" w14:textId="77777777" w:rsidR="00AE37D5" w:rsidRPr="006F4082" w:rsidRDefault="00AE37D5" w:rsidP="00AE37D5">
      <w:pPr>
        <w:pStyle w:val="Footnote"/>
        <w:spacing w:before="120"/>
        <w:ind w:left="0" w:firstLine="0"/>
        <w:jc w:val="both"/>
        <w:rPr>
          <w:rFonts w:ascii="Calibri" w:hAnsi="Calibri" w:cs="Calibri"/>
          <w:sz w:val="24"/>
          <w:szCs w:val="24"/>
        </w:rPr>
      </w:pPr>
      <w:r w:rsidRPr="006F4082">
        <w:rPr>
          <w:rStyle w:val="DipnotKarakterleri"/>
          <w:rFonts w:ascii="Calibri" w:hAnsi="Calibri" w:cs="Calibri"/>
          <w:sz w:val="24"/>
          <w:szCs w:val="24"/>
        </w:rPr>
        <w:footnoteRef/>
      </w:r>
      <w:r w:rsidRPr="006F4082">
        <w:rPr>
          <w:rFonts w:ascii="Calibri" w:hAnsi="Calibri" w:cs="Calibri"/>
          <w:sz w:val="24"/>
          <w:szCs w:val="24"/>
        </w:rPr>
        <w:t xml:space="preserve"> (</w:t>
      </w:r>
      <w:r>
        <w:rPr>
          <w:rFonts w:ascii="Calibri" w:hAnsi="Calibri" w:cs="Calibri"/>
          <w:b/>
          <w:bCs/>
          <w:sz w:val="24"/>
          <w:szCs w:val="24"/>
        </w:rPr>
        <w:t>I</w:t>
      </w:r>
      <w:r w:rsidRPr="005417CF">
        <w:rPr>
          <w:rFonts w:ascii="Calibri" w:hAnsi="Calibri" w:cs="Calibri"/>
          <w:b/>
          <w:bCs/>
          <w:sz w:val="24"/>
          <w:szCs w:val="24"/>
        </w:rPr>
        <w:t>stighrâq</w:t>
      </w:r>
      <w:r w:rsidRPr="006F4082">
        <w:rPr>
          <w:rFonts w:ascii="Calibri" w:hAnsi="Calibri" w:cs="Calibri"/>
          <w:b/>
          <w:bCs/>
          <w:sz w:val="24"/>
          <w:szCs w:val="24"/>
        </w:rPr>
        <w:t>:</w:t>
      </w:r>
      <w:r w:rsidRPr="006F4082">
        <w:rPr>
          <w:rFonts w:ascii="Calibri" w:hAnsi="Calibri" w:cs="Calibri"/>
          <w:sz w:val="24"/>
          <w:szCs w:val="24"/>
        </w:rPr>
        <w:t xml:space="preserve"> </w:t>
      </w:r>
      <w:r w:rsidRPr="005417CF">
        <w:rPr>
          <w:rFonts w:ascii="Calibri" w:hAnsi="Calibri" w:cs="Calibri"/>
          <w:sz w:val="24"/>
          <w:szCs w:val="24"/>
        </w:rPr>
        <w:t xml:space="preserve">The state of being totally immersed and dissolved in ecstatic contemplation, bliss and the intense </w:t>
      </w:r>
      <w:hyperlink r:id="rId1" w:history="1">
        <w:r w:rsidRPr="0050535A">
          <w:rPr>
            <w:rStyle w:val="Hyperlink"/>
            <w:rFonts w:ascii="Calibri" w:hAnsi="Calibri" w:cs="Calibri"/>
            <w:sz w:val="24"/>
            <w:szCs w:val="24"/>
          </w:rPr>
          <w:t>‘ashq</w:t>
        </w:r>
      </w:hyperlink>
      <w:r w:rsidRPr="005417CF">
        <w:rPr>
          <w:rFonts w:ascii="Calibri" w:hAnsi="Calibri" w:cs="Calibri"/>
          <w:sz w:val="24"/>
          <w:szCs w:val="24"/>
        </w:rPr>
        <w:t xml:space="preserve"> of Allah.)</w:t>
      </w:r>
      <w:r w:rsidRPr="006F4082">
        <w:rPr>
          <w:rFonts w:ascii="Calibri" w:hAnsi="Calibri" w:cs="Calibri"/>
          <w:i/>
          <w:iCs/>
          <w:sz w:val="24"/>
          <w:szCs w:val="24"/>
        </w:rPr>
        <w:t xml:space="preserve"> (Tr.)</w:t>
      </w:r>
    </w:p>
  </w:footnote>
  <w:footnote w:id="3">
    <w:p w14:paraId="7E3BE862" w14:textId="77777777" w:rsidR="00AE37D5" w:rsidRPr="006F4082" w:rsidRDefault="00AE37D5" w:rsidP="00AE37D5">
      <w:pPr>
        <w:spacing w:before="120"/>
        <w:jc w:val="both"/>
        <w:rPr>
          <w:rFonts w:ascii="Calibri" w:hAnsi="Calibri" w:cs="Calibri"/>
        </w:rPr>
      </w:pPr>
      <w:r w:rsidRPr="006F4082">
        <w:rPr>
          <w:rStyle w:val="FootnoteReference"/>
          <w:rFonts w:ascii="Calibri" w:hAnsi="Calibri" w:cs="Calibri"/>
        </w:rPr>
        <w:footnoteRef/>
      </w:r>
      <w:r w:rsidRPr="006F4082">
        <w:rPr>
          <w:rFonts w:ascii="Calibri" w:hAnsi="Calibri" w:cs="Calibri"/>
        </w:rPr>
        <w:t xml:space="preserve"> (</w:t>
      </w:r>
      <w:r w:rsidRPr="00265E39">
        <w:rPr>
          <w:rFonts w:ascii="Calibri" w:hAnsi="Calibri" w:cs="Calibri"/>
          <w:b/>
          <w:bCs/>
        </w:rPr>
        <w:t>Muqarrab</w:t>
      </w:r>
      <w:r>
        <w:rPr>
          <w:rFonts w:ascii="Calibri" w:hAnsi="Calibri" w:cs="Calibri"/>
          <w:b/>
          <w:bCs/>
        </w:rPr>
        <w:t>û</w:t>
      </w:r>
      <w:r w:rsidRPr="00265E39">
        <w:rPr>
          <w:rFonts w:ascii="Calibri" w:hAnsi="Calibri" w:cs="Calibri"/>
          <w:b/>
          <w:bCs/>
        </w:rPr>
        <w:t>n:</w:t>
      </w:r>
      <w:r w:rsidRPr="006F4082">
        <w:rPr>
          <w:rFonts w:ascii="Calibri" w:hAnsi="Calibri" w:cs="Calibri"/>
        </w:rPr>
        <w:t xml:space="preserve"> The </w:t>
      </w:r>
      <w:hyperlink r:id="rId2" w:history="1">
        <w:r w:rsidRPr="0050535A">
          <w:rPr>
            <w:rStyle w:val="Hyperlink"/>
            <w:rFonts w:ascii="Calibri" w:hAnsi="Calibri" w:cs="Calibri"/>
          </w:rPr>
          <w:t>malâikah</w:t>
        </w:r>
      </w:hyperlink>
      <w:r w:rsidRPr="006F4082">
        <w:rPr>
          <w:rFonts w:ascii="Calibri" w:hAnsi="Calibri" w:cs="Calibri"/>
        </w:rPr>
        <w:t xml:space="preserve"> </w:t>
      </w:r>
      <w:r w:rsidRPr="005417CF">
        <w:rPr>
          <w:rFonts w:ascii="Calibri" w:hAnsi="Calibri" w:cs="Calibri"/>
        </w:rPr>
        <w:t xml:space="preserve">who are granted proximity to the </w:t>
      </w:r>
      <w:hyperlink r:id="rId3" w:history="1">
        <w:r w:rsidRPr="0050535A">
          <w:rPr>
            <w:rStyle w:val="Hyperlink"/>
            <w:rFonts w:ascii="Calibri" w:hAnsi="Calibri" w:cs="Calibri"/>
          </w:rPr>
          <w:t>hudhûr</w:t>
        </w:r>
      </w:hyperlink>
      <w:r w:rsidRPr="005417CF">
        <w:rPr>
          <w:rFonts w:ascii="Calibri" w:hAnsi="Calibri" w:cs="Calibri"/>
        </w:rPr>
        <w:t xml:space="preserve"> </w:t>
      </w:r>
      <w:r w:rsidRPr="006F4082">
        <w:rPr>
          <w:rFonts w:ascii="Calibri" w:hAnsi="Calibri" w:cs="Calibri"/>
        </w:rPr>
        <w:t>of Allah</w:t>
      </w:r>
      <w:r>
        <w:rPr>
          <w:rFonts w:ascii="Calibri" w:hAnsi="Calibri" w:cs="Calibri"/>
        </w:rPr>
        <w:t>.</w:t>
      </w:r>
      <w:r w:rsidRPr="006F4082">
        <w:rPr>
          <w:rFonts w:ascii="Calibri" w:hAnsi="Calibri" w:cs="Calibri"/>
        </w:rPr>
        <w:t xml:space="preserve">) </w:t>
      </w:r>
      <w:r w:rsidRPr="006F4082">
        <w:rPr>
          <w:rFonts w:ascii="Calibri" w:hAnsi="Calibri" w:cs="Calibri"/>
          <w:i/>
          <w:iCs/>
        </w:rPr>
        <w:t>(Tr.)</w:t>
      </w:r>
      <w:r w:rsidRPr="005417CF">
        <w:rPr>
          <w:rFonts w:ascii="Calibri" w:hAnsi="Calibri" w:cs="Calibr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616"/>
    <w:multiLevelType w:val="multilevel"/>
    <w:tmpl w:val="CCEA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5753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D17"/>
    <w:rsid w:val="00257E90"/>
    <w:rsid w:val="005158E6"/>
    <w:rsid w:val="008A3340"/>
    <w:rsid w:val="00A25ED5"/>
    <w:rsid w:val="00AE37D5"/>
    <w:rsid w:val="00DB79C9"/>
    <w:rsid w:val="00E76D17"/>
    <w:rsid w:val="00EA3DD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719CC5"/>
  <w15:chartTrackingRefBased/>
  <w15:docId w15:val="{CB67C6E4-C0AD-41FB-B2E0-DC5822760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character" w:customStyle="1" w:styleId="DipnotSabitleyicisi">
    <w:name w:val="Dipnot Sabitleyicisi"/>
    <w:uiPriority w:val="99"/>
    <w:rsid w:val="00257E90"/>
    <w:rPr>
      <w:vertAlign w:val="superscript"/>
    </w:rPr>
  </w:style>
  <w:style w:type="character" w:customStyle="1" w:styleId="DipnotKarakterleri">
    <w:name w:val="Dipnot Karakterleri"/>
    <w:uiPriority w:val="99"/>
    <w:qFormat/>
    <w:rsid w:val="00257E90"/>
  </w:style>
  <w:style w:type="paragraph" w:customStyle="1" w:styleId="Footnote">
    <w:name w:val="Footnote"/>
    <w:basedOn w:val="Normal"/>
    <w:uiPriority w:val="99"/>
    <w:qFormat/>
    <w:rsid w:val="00257E90"/>
    <w:pPr>
      <w:suppressLineNumbers/>
      <w:ind w:left="339" w:hanging="339"/>
      <w:textAlignment w:val="baseline"/>
    </w:pPr>
    <w:rPr>
      <w:rFonts w:ascii="Liberation Serif" w:eastAsia="NSimSun" w:hAnsi="Liberation Serif" w:cs="Arial"/>
      <w:kern w:val="2"/>
      <w:sz w:val="20"/>
      <w:szCs w:val="20"/>
      <w:lang w:bidi="hi-IN"/>
    </w:rPr>
  </w:style>
  <w:style w:type="character" w:styleId="FootnoteReference">
    <w:name w:val="footnote reference"/>
    <w:unhideWhenUsed/>
    <w:rsid w:val="00257E90"/>
    <w:rPr>
      <w:vertAlign w:val="superscript"/>
    </w:rPr>
  </w:style>
  <w:style w:type="character" w:styleId="Hyperlink">
    <w:name w:val="Hyperlink"/>
    <w:uiPriority w:val="99"/>
    <w:unhideWhenUsed/>
    <w:rsid w:val="00AE37D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73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I/IRADAH.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isaleinur.online/english/_dictionary/F/FITRAH.php" TargetMode="External"/><Relationship Id="rId12" Type="http://schemas.openxmlformats.org/officeDocument/2006/relationships/hyperlink" Target="https://risaleinur.online/english/_dictionary/H/HAQIQAH.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isaleinur.online/english/_rn_collection/THE_FLASHES/23th%20Flash/the_twenty_third_flash_nature.php" TargetMode="External"/><Relationship Id="rId5" Type="http://schemas.openxmlformats.org/officeDocument/2006/relationships/footnotes" Target="footnotes.xml"/><Relationship Id="rId10" Type="http://schemas.openxmlformats.org/officeDocument/2006/relationships/hyperlink" Target="https://risaleinur.online/english/_dictionary/D/DHALALAH.php" TargetMode="External"/><Relationship Id="rId4" Type="http://schemas.openxmlformats.org/officeDocument/2006/relationships/webSettings" Target="webSettings.xml"/><Relationship Id="rId9" Type="http://schemas.openxmlformats.org/officeDocument/2006/relationships/hyperlink" Target="https://risaleinur.online/english/_dictionary/G/GHAFLAH.php"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risaleinur.online/english/_dictionary/H/HUDHUR.php" TargetMode="External"/><Relationship Id="rId2" Type="http://schemas.openxmlformats.org/officeDocument/2006/relationships/hyperlink" Target="https://risaleinur.online/english/_dictionary/M/MALAIKAH.php" TargetMode="External"/><Relationship Id="rId1" Type="http://schemas.openxmlformats.org/officeDocument/2006/relationships/hyperlink" Target="https://risaleinur.online/english/_dictionary/A/ASHQ.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TAKWÎN – TAKWÎNÎ</vt:lpstr>
    </vt:vector>
  </TitlesOfParts>
  <Company>HP</Company>
  <LinksUpToDate>false</LinksUpToDate>
  <CharactersWithSpaces>4290</CharactersWithSpaces>
  <SharedDoc>false</SharedDoc>
  <HLinks>
    <vt:vector size="54" baseType="variant">
      <vt:variant>
        <vt:i4>2162771</vt:i4>
      </vt:variant>
      <vt:variant>
        <vt:i4>15</vt:i4>
      </vt:variant>
      <vt:variant>
        <vt:i4>0</vt:i4>
      </vt:variant>
      <vt:variant>
        <vt:i4>5</vt:i4>
      </vt:variant>
      <vt:variant>
        <vt:lpwstr>https://risaleinur.online/english/_dictionary/H/HAQIQAH.php</vt:lpwstr>
      </vt:variant>
      <vt:variant>
        <vt:lpwstr/>
      </vt:variant>
      <vt:variant>
        <vt:i4>131176</vt:i4>
      </vt:variant>
      <vt:variant>
        <vt:i4>12</vt:i4>
      </vt:variant>
      <vt:variant>
        <vt:i4>0</vt:i4>
      </vt:variant>
      <vt:variant>
        <vt:i4>5</vt:i4>
      </vt:variant>
      <vt:variant>
        <vt:lpwstr>https://risaleinur.online/english/_rn_collection/THE_FLASHES/23th Flash/the_twenty_third_flash_nature.php</vt:lpwstr>
      </vt:variant>
      <vt:variant>
        <vt:lpwstr/>
      </vt:variant>
      <vt:variant>
        <vt:i4>917612</vt:i4>
      </vt:variant>
      <vt:variant>
        <vt:i4>9</vt:i4>
      </vt:variant>
      <vt:variant>
        <vt:i4>0</vt:i4>
      </vt:variant>
      <vt:variant>
        <vt:i4>5</vt:i4>
      </vt:variant>
      <vt:variant>
        <vt:lpwstr>https://risaleinur.online/english/_dictionary/D/DHALALAH.php</vt:lpwstr>
      </vt:variant>
      <vt:variant>
        <vt:lpwstr/>
      </vt:variant>
      <vt:variant>
        <vt:i4>2555998</vt:i4>
      </vt:variant>
      <vt:variant>
        <vt:i4>6</vt:i4>
      </vt:variant>
      <vt:variant>
        <vt:i4>0</vt:i4>
      </vt:variant>
      <vt:variant>
        <vt:i4>5</vt:i4>
      </vt:variant>
      <vt:variant>
        <vt:lpwstr>https://risaleinur.online/english/_dictionary/G/GHAFLAH.php</vt:lpwstr>
      </vt:variant>
      <vt:variant>
        <vt:lpwstr/>
      </vt:variant>
      <vt:variant>
        <vt:i4>7340045</vt:i4>
      </vt:variant>
      <vt:variant>
        <vt:i4>3</vt:i4>
      </vt:variant>
      <vt:variant>
        <vt:i4>0</vt:i4>
      </vt:variant>
      <vt:variant>
        <vt:i4>5</vt:i4>
      </vt:variant>
      <vt:variant>
        <vt:lpwstr>https://risaleinur.online/english/_dictionary/I/IRADAH.php</vt:lpwstr>
      </vt:variant>
      <vt:variant>
        <vt:lpwstr/>
      </vt:variant>
      <vt:variant>
        <vt:i4>8192024</vt:i4>
      </vt:variant>
      <vt:variant>
        <vt:i4>0</vt:i4>
      </vt:variant>
      <vt:variant>
        <vt:i4>0</vt:i4>
      </vt:variant>
      <vt:variant>
        <vt:i4>5</vt:i4>
      </vt:variant>
      <vt:variant>
        <vt:lpwstr>https://risaleinur.online/english/_dictionary/F/FITRAH.php</vt:lpwstr>
      </vt:variant>
      <vt:variant>
        <vt:lpwstr/>
      </vt:variant>
      <vt:variant>
        <vt:i4>6357020</vt:i4>
      </vt:variant>
      <vt:variant>
        <vt:i4>6</vt:i4>
      </vt:variant>
      <vt:variant>
        <vt:i4>0</vt:i4>
      </vt:variant>
      <vt:variant>
        <vt:i4>5</vt:i4>
      </vt:variant>
      <vt:variant>
        <vt:lpwstr>https://risaleinur.online/english/_dictionary/H/HUDHUR.php</vt:lpwstr>
      </vt:variant>
      <vt:variant>
        <vt:lpwstr/>
      </vt:variant>
      <vt:variant>
        <vt:i4>852073</vt:i4>
      </vt:variant>
      <vt:variant>
        <vt:i4>3</vt:i4>
      </vt:variant>
      <vt:variant>
        <vt:i4>0</vt:i4>
      </vt:variant>
      <vt:variant>
        <vt:i4>5</vt:i4>
      </vt:variant>
      <vt:variant>
        <vt:lpwstr>https://risaleinur.online/english/_dictionary/M/MALAIKAH.php</vt:lpwstr>
      </vt:variant>
      <vt:variant>
        <vt:lpwstr/>
      </vt:variant>
      <vt:variant>
        <vt:i4>786533</vt:i4>
      </vt:variant>
      <vt:variant>
        <vt:i4>0</vt:i4>
      </vt:variant>
      <vt:variant>
        <vt:i4>0</vt:i4>
      </vt:variant>
      <vt:variant>
        <vt:i4>5</vt:i4>
      </vt:variant>
      <vt:variant>
        <vt:lpwstr>https://risaleinur.online/english/_dictionary/A/ASHQ.php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TAKWÎN – TAKWÎNÎ</dc:title>
  <dc:subject/>
  <dc:creator>DURUKAN</dc:creator>
  <cp:keywords/>
  <cp:lastModifiedBy>zulal durukan</cp:lastModifiedBy>
  <cp:revision>2</cp:revision>
  <cp:lastPrinted>1995-11-21T15:41:00Z</cp:lastPrinted>
  <dcterms:created xsi:type="dcterms:W3CDTF">2026-09-22T11:29:00Z</dcterms:created>
  <dcterms:modified xsi:type="dcterms:W3CDTF">2026-09-22T11:29:00Z</dcterms:modified>
</cp:coreProperties>
</file>