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QUWWA AL-GHADHABIYYAH</w:t>
      </w:r>
    </w:p>
    <w:p>
      <w:pPr>
        <w:jc w:val="center"/>
      </w:pPr>
      <w:r>
        <w:rPr>
          <w:b/>
          <w:color w:val="800000"/>
        </w:rPr>
        <w:t xml:space="preserve">Quwwa Al-Ghadhabiyyah -</w:t>
      </w:r>
      <w:r>
        <w:rPr>
          <w:color w:val="800000"/>
        </w:rPr>
        <w:t xml:space="preserve"> القوة الغضبية</w:t>
      </w:r>
    </w:p>
    <w:p>
      <w:pPr>
        <w:jc w:val="both"/>
      </w:pPr>
      <w:r>
        <w:rPr>
          <w:b/>
        </w:rPr>
        <w:t xml:space="preserve">Quwwa</w:t>
      </w:r>
      <w:r>
        <w:t xml:space="preserve">: A faculty, a quality, a possibility, a potency. Powers, faculties.</w:t>
      </w:r>
    </w:p>
    <w:p>
      <w:pPr>
        <w:jc w:val="both"/>
      </w:pPr>
      <w:r>
        <w:rPr>
          <w:b/>
        </w:rPr>
        <w:t xml:space="preserve">Al-Ghadhab (</w:t>
      </w:r>
      <w:r>
        <w:t xml:space="preserve">الغضب</w:t>
      </w:r>
      <w:r>
        <w:rPr>
          <w:b/>
        </w:rPr>
        <w:t xml:space="preserve">):</w:t>
      </w:r>
      <w:r>
        <w:t xml:space="preserve"> Literally, </w:t>
      </w:r>
      <w:r>
        <w:rPr>
          <w:i/>
        </w:rPr>
        <w:t xml:space="preserve">ghadhab</w:t>
      </w:r>
      <w:r>
        <w:t xml:space="preserve"> denotes a violent surge, boiling intensity and fierce reaction.</w:t>
      </w:r>
    </w:p>
    <w:p>
      <w:pPr>
        <w:jc w:val="both"/>
      </w:pPr>
      <w:r>
        <w:rPr>
          <w:b/>
        </w:rPr>
        <w:t xml:space="preserve">Quwwa Al-Ghadhabiyyah</w:t>
      </w:r>
      <w:r>
        <w:t xml:space="preserve"> is the power of anger and rage bestowed upon man.</w:t>
      </w:r>
      <w:r>
        <w:rPr>
          <w:i/>
        </w:rPr>
        <w:t xml:space="preserve"> </w:t>
      </w:r>
      <w:r>
        <w:t xml:space="preserve">It is a dynamic, potent energy and a protective shield endowed by Allah to repulse harmful and destructive elements, to defend </w:t>
      </w:r>
      <w:hyperlink r:id="rIdL1">
        <w:r>
          <w:rPr>
            <w:i/>
            <w:color w:val="0563C1"/>
            <w:u w:val="single"/>
          </w:rPr>
          <w:t xml:space="preserve">haqq</w:t>
        </w:r>
      </w:hyperlink>
      <w:r>
        <w:t xml:space="preserve">, uphold justice and guard one's </w:t>
      </w:r>
      <w:hyperlink r:id="rIdL2">
        <w:r>
          <w:rPr>
            <w:i/>
            <w:color w:val="0563C1"/>
            <w:u w:val="single"/>
          </w:rPr>
          <w:t xml:space="preserve">îmân</w:t>
        </w:r>
      </w:hyperlink>
      <w:r>
        <w:t xml:space="preserve">, life and sacred values against assaults.</w:t>
      </w:r>
    </w:p>
    <w:p>
      <w:pPr>
        <w:jc w:val="both"/>
      </w:pPr>
      <w:r>
        <w:t xml:space="preserve">It is a faculty shared with animals. Unlike animals whose quwwa al-ghadhabiyyah is strictly bound by limits in their </w:t>
      </w:r>
      <w:hyperlink r:id="rIdL3">
        <w:r>
          <w:rPr>
            <w:i/>
            <w:color w:val="0563C1"/>
            <w:u w:val="single"/>
          </w:rPr>
          <w:t xml:space="preserve">fitrah</w:t>
        </w:r>
      </w:hyperlink>
      <w:r>
        <w:t xml:space="preserve">, man has been entrusted with this power without pre-determined boundaries. Through the guidance and </w:t>
      </w:r>
      <w:hyperlink r:id="rIdL4">
        <w:r>
          <w:rPr>
            <w:i/>
            <w:color w:val="0563C1"/>
            <w:u w:val="single"/>
          </w:rPr>
          <w:t xml:space="preserve">tarbiyyah</w:t>
        </w:r>
      </w:hyperlink>
      <w:r>
        <w:t xml:space="preserve"> of the </w:t>
      </w:r>
      <w:r>
        <w:rPr>
          <w:i/>
        </w:rPr>
        <w:t xml:space="preserve">Sharî'ah</w:t>
      </w:r>
      <w:r>
        <w:t xml:space="preserve">, man can elevate it into </w:t>
      </w:r>
      <w:r>
        <w:rPr>
          <w:i/>
        </w:rPr>
        <w:t xml:space="preserve">Quwwa Al-Dâfi'ah, </w:t>
      </w:r>
      <w:r>
        <w:t xml:space="preserve">thereby transforming it into a pure, sacred shield of defense and making him a guardian of justice. Conversely, if he surrenders the reins of this power to the desires of the </w:t>
      </w:r>
      <w:hyperlink r:id="rIdL5">
        <w:r>
          <w:rPr>
            <w:i/>
            <w:color w:val="0563C1"/>
            <w:u w:val="single"/>
          </w:rPr>
          <w:t xml:space="preserve">nafs</w:t>
        </w:r>
      </w:hyperlink>
      <w:r>
        <w:t xml:space="preserve">, it drags him into unbridled tyranny and remorseless cruelty, causing him to fall lower than animals.</w:t>
      </w:r>
    </w:p>
    <w:p>
      <w:pPr>
        <w:jc w:val="both"/>
      </w:pPr>
      <w:r>
        <w:rPr>
          <w:b/>
          <w:i/>
        </w:rPr>
        <w:t xml:space="preserve">An excerpt from the Risale-i Nur that elucidates the meaning of this term:</w:t>
      </w:r>
    </w:p>
    <w:p>
      <w:pPr>
        <w:jc w:val="both"/>
      </w:pPr>
      <w:r>
        <w:t xml:space="preserve">When Allah 'Azza wa Jalla housed the rûh in the changing, needy body exposed to perils, He entrusted three powers (quwwa) to it to maintain its existence therein.</w:t>
      </w:r>
    </w:p>
    <w:p>
      <w:pPr>
        <w:jc w:val="both"/>
      </w:pPr>
      <w:r>
        <w:rPr>
          <w:b/>
        </w:rPr>
        <w:t xml:space="preserve">The First:</w:t>
      </w:r>
      <w:r>
        <w:t xml:space="preserve"> </w:t>
      </w:r>
      <w:r>
        <w:rPr>
          <w:i/>
        </w:rPr>
        <w:t xml:space="preserve">Al-quwwa ash-shahawiyyah al-bahîmiyyah </w:t>
      </w:r>
      <w:r>
        <w:t xml:space="preserve">— the power of animal appetite that attracts benefits.</w:t>
      </w:r>
    </w:p>
    <w:p>
      <w:pPr>
        <w:jc w:val="both"/>
      </w:pPr>
      <w:r>
        <w:rPr>
          <w:b/>
        </w:rPr>
        <w:t xml:space="preserve">The Second:</w:t>
      </w:r>
      <w:r>
        <w:t xml:space="preserve"> </w:t>
      </w:r>
      <w:r>
        <w:rPr>
          <w:i/>
        </w:rPr>
        <w:t xml:space="preserve">Al-quwwa al-ghadhabiyyah as-sabui’yyah </w:t>
      </w:r>
      <w:r>
        <w:t xml:space="preserve">— the predacious power of anger that repulses harmful and destructive things.</w:t>
      </w:r>
    </w:p>
    <w:p>
      <w:pPr>
        <w:jc w:val="both"/>
      </w:pPr>
      <w:r>
        <w:rPr>
          <w:b/>
        </w:rPr>
        <w:t xml:space="preserve">The Third:</w:t>
      </w:r>
      <w:r>
        <w:t xml:space="preserve"> </w:t>
      </w:r>
      <w:r>
        <w:rPr>
          <w:i/>
        </w:rPr>
        <w:t xml:space="preserve">Al-quwwa al-aqliyyah al-malakiyyah </w:t>
      </w:r>
      <w:r>
        <w:t xml:space="preserve">— the intellectual power of the malâikah that distinguishes between benefit and harm.</w:t>
      </w:r>
    </w:p>
    <w:p>
      <w:pPr>
        <w:jc w:val="both"/>
      </w:pPr>
      <w: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Sharî'ah, which prohibits ifrât and tafrît and commands the wasat. This is what is declared by the âyah</w:t>
      </w:r>
    </w:p>
    <w:p>
      <w:pPr>
        <w:jc w:val="center"/>
      </w:pPr>
      <w:r>
        <w:rPr>
          <w:color w:val="FF0000"/>
        </w:rPr>
        <w:t xml:space="preserve">فَاسْتَقِمْ كَمَٓا اُمِرْتَ</w:t>
      </w:r>
      <w:r>
        <w:t xml:space="preserve"> </w:t>
      </w:r>
      <w:r>
        <w:rPr>
          <w:vertAlign w:val="superscript"/>
        </w:rPr>
        <w:t xml:space="preserve">[1]</w:t>
      </w:r>
    </w:p>
    <w:p>
      <w:pPr>
        <w:jc w:val="both"/>
      </w:pPr>
      <w:r>
        <w:t xml:space="preserve">And due to this lack of limitation in fitrah, three degrees arise in each: the degree of deficiency, which is tafrît; the degree of excess, which is ifrât; and the degree of wasat, which is justice (‘adl).</w:t>
      </w:r>
    </w:p>
    <w:p>
      <w:pPr>
        <w:jc w:val="both"/>
      </w:pPr>
      <w:r>
        <w:rPr>
          <w:b/>
        </w:rPr>
        <w:t xml:space="preserve">Thus, the degrees of al-quwwa al-aqliyyah:</w:t>
      </w:r>
    </w:p>
    <w:p>
      <w:pPr>
        <w:jc w:val="both"/>
      </w:pPr>
      <w:r>
        <w:rPr>
          <w:b/>
        </w:rPr>
        <w:t xml:space="preserve">1.</w:t>
      </w:r>
      <w:r>
        <w:t xml:space="preserve"> </w:t>
      </w:r>
      <w:r>
        <w:rPr>
          <w:b/>
        </w:rPr>
        <w:t xml:space="preserve">Its tafrît </w:t>
      </w:r>
      <w:r>
        <w:t xml:space="preserve">is gabâwah and stupidity (or dullness).</w:t>
      </w:r>
    </w:p>
    <w:p>
      <w:pPr>
        <w:jc w:val="both"/>
      </w:pPr>
      <w:r>
        <w:rPr>
          <w:b/>
        </w:rPr>
        <w:t xml:space="preserve">2. Its ifrât </w:t>
      </w:r>
      <w:r>
        <w:t xml:space="preserve">is deceptive jarbaza</w:t>
      </w:r>
      <w:r>
        <w:rPr>
          <w:vertAlign w:val="superscript"/>
        </w:rPr>
        <w:t xml:space="preserve">[2]</w:t>
      </w:r>
      <w:r>
        <w:t xml:space="preserve"> and over-meticulousness in trivial matters.</w:t>
      </w:r>
    </w:p>
    <w:p>
      <w:pPr>
        <w:jc w:val="both"/>
      </w:pPr>
      <w:r>
        <w:rPr>
          <w:b/>
        </w:rPr>
        <w:t xml:space="preserve">3. Its wasat</w:t>
      </w:r>
      <w:r>
        <w:t xml:space="preserve"> is hikmah.</w:t>
      </w:r>
      <w:r>
        <w:rPr>
          <w:vertAlign w:val="superscript"/>
        </w:rPr>
        <w:t xml:space="preserve">[3]</w:t>
      </w:r>
    </w:p>
    <w:p>
      <w:pPr>
        <w:jc w:val="center"/>
      </w:pPr>
      <w:r>
        <w:rPr>
          <w:color w:val="FF0000"/>
        </w:rPr>
        <w:t xml:space="preserve">وَمَنْ يُؤْتَ الْحِكْمَةَ فَقَدْ اُو۫تِىَ خَيْرًا كَث۪يرًۜا </w:t>
      </w:r>
      <w:r>
        <w:rPr>
          <w:vertAlign w:val="superscript"/>
        </w:rPr>
        <w:t xml:space="preserve">[4]</w:t>
      </w:r>
    </w:p>
    <w:p>
      <w:pPr>
        <w:jc w:val="both"/>
      </w:pPr>
      <w:r>
        <w:t xml:space="preserve">Know that just as these powers vary in these three degrees, so does each of their branches. For example, regarding the issue of </w:t>
      </w:r>
      <w:r>
        <w:rPr>
          <w:i/>
        </w:rPr>
        <w:t xml:space="preserve">the creation of actions</w:t>
      </w:r>
      <w:r>
        <w:rPr>
          <w:vertAlign w:val="superscript"/>
        </w:rPr>
        <w:t xml:space="preserve">[5]</w:t>
      </w:r>
      <w:r>
        <w:t xml:space="preserve">, the wasat is the madhab of Ahl al-Sunnah</w:t>
      </w:r>
      <w:r>
        <w:rPr>
          <w:vertAlign w:val="superscript"/>
        </w:rPr>
        <w:t xml:space="preserve">[6]</w:t>
      </w:r>
      <w:r>
        <w:t xml:space="preserve"> between the Jabriyya</w:t>
      </w:r>
      <w:r>
        <w:rPr>
          <w:vertAlign w:val="superscript"/>
        </w:rPr>
        <w:t xml:space="preserve">[7]</w:t>
      </w:r>
      <w:r>
        <w:t xml:space="preserve"> and the Mu'tazila</w:t>
      </w:r>
      <w:r>
        <w:rPr>
          <w:vertAlign w:val="superscript"/>
        </w:rPr>
        <w:t xml:space="preserve">[8]</w:t>
      </w:r>
      <w:r>
        <w:t xml:space="preserve">.</w:t>
      </w:r>
      <w:r>
        <w:rPr>
          <w:vertAlign w:val="superscript"/>
        </w:rPr>
        <w:t xml:space="preserve">[9]</w:t>
      </w:r>
    </w:p>
    <w:p>
      <w:pPr>
        <w:jc w:val="both"/>
      </w:pPr>
      <w:r>
        <w:t xml:space="preserve">And concerning belief: the madhab of Tawhîd is the wasat between ta'til (denying the attributes of Allah or stripping them from their haqiqah) and tashbîh (anthropomorphism). Other examples can be expanded according to this analogy.</w:t>
      </w:r>
    </w:p>
    <w:p>
      <w:pPr>
        <w:jc w:val="both"/>
      </w:pPr>
      <w:r>
        <w:rPr>
          <w:b/>
        </w:rPr>
        <w:t xml:space="preserve">Thus, the degrees of al-quwwa ash-shahawiyyah:</w:t>
      </w:r>
    </w:p>
    <w:p>
      <w:pPr>
        <w:jc w:val="both"/>
      </w:pPr>
      <w:r>
        <w:rPr>
          <w:b/>
        </w:rPr>
        <w:t xml:space="preserve">1. Its tafrît </w:t>
      </w:r>
      <w:r>
        <w:t xml:space="preserve">is khumud, which is a complete lack of desire for anything.</w:t>
      </w:r>
    </w:p>
    <w:p>
      <w:pPr>
        <w:jc w:val="both"/>
      </w:pPr>
      <w:r>
        <w:rPr>
          <w:b/>
        </w:rPr>
        <w:t xml:space="preserve">2. Its ifrât </w:t>
      </w:r>
      <w:r>
        <w:t xml:space="preserve">is fujûr, which is to desire whatever one encounters, whether halal or haram.</w:t>
      </w:r>
    </w:p>
    <w:p>
      <w:pPr>
        <w:jc w:val="both"/>
      </w:pPr>
      <w:r>
        <w:rPr>
          <w:b/>
        </w:rPr>
        <w:t xml:space="preserve">3. Its wasat</w:t>
      </w:r>
      <w:r>
        <w:t xml:space="preserve"> is ‘iffah, which is desiring what is halal and shunning the haram.</w:t>
      </w:r>
    </w:p>
    <w:p>
      <w:pPr>
        <w:jc w:val="both"/>
      </w:pPr>
      <w:r>
        <w:t xml:space="preserve">Apply this analogy, comparing every branch of this power — such as eating, drinking, clothing, and the like — with its root.</w:t>
      </w:r>
    </w:p>
    <w:p>
      <w:pPr>
        <w:jc w:val="both"/>
      </w:pPr>
      <w:r>
        <w:rPr>
          <w:b/>
        </w:rPr>
        <w:t xml:space="preserve">Thus, the degrees of</w:t>
      </w:r>
      <w:r>
        <w:t xml:space="preserve"> </w:t>
      </w:r>
      <w:r>
        <w:rPr>
          <w:b/>
        </w:rPr>
        <w:t xml:space="preserve">al-quwwa al-ghadhabiyyah:</w:t>
      </w:r>
    </w:p>
    <w:p>
      <w:pPr>
        <w:jc w:val="both"/>
      </w:pPr>
      <w:r>
        <w:rPr>
          <w:b/>
        </w:rPr>
        <w:t xml:space="preserve">1. Its tafrît </w:t>
      </w:r>
      <w:r>
        <w:t xml:space="preserve">is jabânah, which is fearing what should not be feared and having wahm.</w:t>
      </w:r>
    </w:p>
    <w:p>
      <w:pPr>
        <w:jc w:val="both"/>
      </w:pPr>
      <w:r>
        <w:rPr>
          <w:b/>
        </w:rPr>
        <w:t xml:space="preserve">2. Its ifrât </w:t>
      </w:r>
      <w:r>
        <w:t xml:space="preserve">is tahawwur</w:t>
      </w:r>
      <w:r>
        <w:rPr>
          <w:vertAlign w:val="superscript"/>
        </w:rPr>
        <w:t xml:space="preserve">[10]</w:t>
      </w:r>
      <w:r>
        <w:t xml:space="preserve">, which is the father of despotism, arbitrary, domination and dhulm.</w:t>
      </w:r>
    </w:p>
    <w:p>
      <w:pPr>
        <w:jc w:val="both"/>
      </w:pPr>
      <w:r>
        <w:rPr>
          <w:b/>
        </w:rPr>
        <w:t xml:space="preserve">3. Its wasat</w:t>
      </w:r>
      <w:r>
        <w:t xml:space="preserve"> is shajâ'ah, which is sacrificing one’s rûh with passionate love and eagerness to protect the honour and dignity </w:t>
      </w:r>
      <w:r>
        <w:rPr>
          <w:i/>
        </w:rPr>
        <w:t xml:space="preserve">(nâmûs</w:t>
      </w:r>
      <w:r>
        <w:rPr>
          <w:vertAlign w:val="superscript"/>
        </w:rPr>
        <w:t xml:space="preserve">[11]</w:t>
      </w:r>
      <w:r>
        <w:rPr>
          <w:i/>
        </w:rPr>
        <w:t xml:space="preserve">) </w:t>
      </w:r>
      <w:r>
        <w:t xml:space="preserve">of Islam and uphold the Word of Tawhîd.</w:t>
      </w:r>
    </w:p>
    <w:p>
      <w:pPr>
        <w:jc w:val="both"/>
      </w:pPr>
      <w:r>
        <w:t xml:space="preserve">Compare every branch of this power with its root.</w:t>
      </w:r>
    </w:p>
    <w:p>
      <w:pPr>
        <w:jc w:val="both"/>
      </w:pPr>
      <w:r>
        <w:t xml:space="preserve">Thus, these six ifrât degrees are dhulm, while the three wasat degrees are justice (‘adl), which is as-sirât al-mustaqîm — that is, acting in accordance with:</w:t>
      </w:r>
    </w:p>
    <w:p>
      <w:pPr>
        <w:jc w:val="center"/>
      </w:pPr>
      <w:r>
        <w:rPr>
          <w:color w:val="FF0000"/>
        </w:rPr>
        <w:t xml:space="preserve">فَاسْتَقِمْ كَمَٓا اُمِرْتَ</w:t>
      </w:r>
      <w:r>
        <w:t xml:space="preserve"> </w:t>
      </w:r>
      <w:r>
        <w:rPr>
          <w:vertAlign w:val="superscript"/>
        </w:rPr>
        <w:t xml:space="preserve">[12]</w:t>
      </w:r>
    </w:p>
    <w:p>
      <w:pPr>
        <w:jc w:val="both"/>
      </w:pPr>
      <w:r>
        <w:t xml:space="preserve">Whoever successfully crosses this bridge of as-sirât al-mustaqîm will likewise cross the bridge of sirât stretched over the fire of Jahannam.</w:t>
      </w:r>
    </w:p>
    <w:p>
      <w:pPr>
        <w:jc w:val="right"/>
      </w:pPr>
      <w:r>
        <w:t xml:space="preserve">The Signs of Miraculousness-53</w:t>
      </w:r>
    </w:p>
    <w:p>
      <w:pPr>
        <w:jc w:val="both"/>
      </w:pPr>
      <w:r>
        <w:rPr>
          <w:i/>
        </w:rPr>
        <w:t xml:space="preserve">(For further explanation, please refer to the Compilation </w:t>
      </w:r>
      <w:hyperlink r:id="rIdL6">
        <w:r>
          <w:rPr>
            <w:i/>
            <w:color w:val="0563C1"/>
            <w:u w:val="single"/>
          </w:rPr>
          <w:t xml:space="preserve">As-sirât Al-mustaqîm.</w:t>
        </w:r>
      </w:hyperlink>
      <w:r>
        <w:rPr>
          <w:i/>
        </w:rPr>
        <w:t xml:space="preserve">)</w:t>
      </w:r>
    </w:p>
    <w:p/>
    <w:p>
      <w:r>
        <w:t xml:space="preserve">[1] </w:t>
      </w:r>
      <w:r>
        <w:t xml:space="preserve"> (Stand firm in </w:t>
      </w:r>
      <w:hyperlink r:id="rIdL7">
        <w:r>
          <w:rPr>
            <w:i/>
            <w:color w:val="0563C1"/>
            <w:u w:val="single"/>
          </w:rPr>
          <w:t xml:space="preserve">istiqâmah</w:t>
        </w:r>
      </w:hyperlink>
      <w:r>
        <w:t xml:space="preserve"> as you are commanded!)</w:t>
      </w:r>
    </w:p>
    <w:p>
      <w:r>
        <w:t xml:space="preserve">[2] </w:t>
      </w:r>
      <w:r>
        <w:t xml:space="preserve"> A note by Hazrat Bediuzzaman referencing Al-Qâmûs al-Muhît regarding the word jarbaza: </w:t>
      </w:r>
    </w:p>
    <w:p>
      <w:r>
        <w:t xml:space="preserve">[2] </w:t>
      </w:r>
      <w:r>
        <w:t xml:space="preserve">“Al-jarbûz, with a damma (the vowel sign for ‘u’ or ‘ü’) on the letter </w:t>
      </w:r>
      <w:r>
        <w:rPr>
          <w:color w:val="EE0000"/>
        </w:rPr>
        <w:t xml:space="preserve">ج</w:t>
      </w:r>
      <w:r>
        <w:t xml:space="preserve">: the cunning and wicked person; an Arabised form of the Persian word kurbuz. Its verbal noun is jarbazah.”</w:t>
      </w:r>
    </w:p>
    <w:p>
      <w:r>
        <w:t xml:space="preserve">[3] </w:t>
      </w:r>
      <w:r>
        <w:t xml:space="preserve"> Explanation of these three degrees in the Turkish translation of </w:t>
      </w:r>
      <w:r>
        <w:rPr>
          <w:i/>
        </w:rPr>
        <w:t xml:space="preserve">İşaratü’l-İcâz</w:t>
      </w:r>
      <w:r>
        <w:t xml:space="preserve"> by Abdulmajid Nursi: </w:t>
      </w:r>
    </w:p>
    <w:p>
      <w:r>
        <w:t xml:space="preserve">[3] </w:t>
      </w:r>
      <w:r>
        <w:t xml:space="preserve">“Gabâwah means having no awareness of anything. Jarbaza is possessing a deceptive intellect to the extent that it can portray </w:t>
      </w:r>
      <w:hyperlink r:id="rIdL8">
        <w:r>
          <w:rPr>
            <w:i/>
            <w:color w:val="0563C1"/>
            <w:u w:val="single"/>
          </w:rPr>
          <w:t xml:space="preserve">bâtil</w:t>
        </w:r>
      </w:hyperlink>
      <w:r>
        <w:t xml:space="preserve"> as </w:t>
      </w:r>
      <w:hyperlink r:id="rIdL1">
        <w:r>
          <w:rPr>
            <w:i/>
            <w:color w:val="0563C1"/>
            <w:u w:val="single"/>
          </w:rPr>
          <w:t xml:space="preserve">haqq</w:t>
        </w:r>
      </w:hyperlink>
      <w:r>
        <w:t xml:space="preserve"> and haqq as bâtil. Hikmah is recognising haqq as haqq and conforming to it, and recognising bâtil as bâtil and abstaining from it.” </w:t>
      </w:r>
      <w:r>
        <w:rPr>
          <w:i/>
        </w:rPr>
        <w:t xml:space="preserve">(Tr.)</w:t>
      </w:r>
    </w:p>
    <w:p>
      <w:r>
        <w:t xml:space="preserve">[4] </w:t>
      </w:r>
      <w:r>
        <w:t xml:space="preserve"> (He, who has been granted hikmah, has been gtanted great </w:t>
      </w:r>
      <w:hyperlink r:id="rIdL9">
        <w:r>
          <w:rPr>
            <w:i/>
            <w:color w:val="0563C1"/>
            <w:u w:val="single"/>
          </w:rPr>
          <w:t xml:space="preserve">khayr</w:t>
        </w:r>
      </w:hyperlink>
      <w:r>
        <w:t xml:space="preserve">.) </w:t>
      </w:r>
    </w:p>
    <w:p>
      <w:r>
        <w:t xml:space="preserve">[5] </w:t>
      </w:r>
      <w:r>
        <w:t xml:space="preserve"> (The debate between the Jabriyya and the Mu‘tazila concerning </w:t>
      </w:r>
      <w:hyperlink r:id="rIdL10">
        <w:r>
          <w:rPr>
            <w:i/>
            <w:color w:val="0563C1"/>
            <w:u w:val="single"/>
          </w:rPr>
          <w:t xml:space="preserve">qadar</w:t>
        </w:r>
      </w:hyperlink>
      <w:r>
        <w:t xml:space="preserve"> and </w:t>
      </w:r>
      <w:hyperlink r:id="rIdL11">
        <w:r>
          <w:rPr>
            <w:i/>
            <w:color w:val="0563C1"/>
            <w:u w:val="single"/>
          </w:rPr>
          <w:t xml:space="preserve">juz</w:t>
        </w:r>
      </w:hyperlink>
      <w:hyperlink r:id="rIdL11">
        <w:r>
          <w:rPr>
            <w:i/>
            <w:color w:val="0563C1"/>
            <w:u w:val="single"/>
          </w:rPr>
          <w:t xml:space="preserve">’ al-</w:t>
        </w:r>
      </w:hyperlink>
      <w:hyperlink r:id="rIdL11">
        <w:r>
          <w:rPr>
            <w:i/>
            <w:color w:val="0563C1"/>
            <w:u w:val="single"/>
          </w:rPr>
          <w:t xml:space="preserve">ikhtiyârî</w:t>
        </w:r>
      </w:hyperlink>
      <w:r>
        <w:t xml:space="preserve"> regarding the creator of human voluntary actions.) </w:t>
      </w:r>
      <w:r>
        <w:rPr>
          <w:i/>
        </w:rPr>
        <w:t xml:space="preserve">(Tr.)</w:t>
      </w:r>
    </w:p>
    <w:p>
      <w:r>
        <w:t xml:space="preserve">[6] </w:t>
      </w:r>
      <w:r>
        <w:t xml:space="preserve"> (The wasat position of Ahl as-Sunnah regarding qadar and juz’ al-ikhtiyârî is elucidated comprehensively in </w:t>
      </w:r>
      <w:hyperlink r:id="rIdL12">
        <w:r>
          <w:rPr>
            <w:i/>
            <w:color w:val="0563C1"/>
            <w:u w:val="single"/>
          </w:rPr>
          <w:t xml:space="preserve">the</w:t>
        </w:r>
      </w:hyperlink>
      <w:hyperlink r:id="rIdL12">
        <w:r>
          <w:rPr>
            <w:i/>
            <w:color w:val="0563C1"/>
            <w:u w:val="single"/>
          </w:rPr>
          <w:t xml:space="preserve"> </w:t>
        </w:r>
      </w:hyperlink>
      <w:hyperlink r:id="rIdL12">
        <w:r>
          <w:rPr>
            <w:i/>
            <w:color w:val="0563C1"/>
            <w:u w:val="single"/>
          </w:rPr>
          <w:t xml:space="preserve">Twenty-Sixth</w:t>
        </w:r>
      </w:hyperlink>
      <w:hyperlink r:id="rIdL12">
        <w:r>
          <w:rPr>
            <w:i/>
            <w:color w:val="0563C1"/>
            <w:u w:val="single"/>
          </w:rPr>
          <w:t xml:space="preserve"> Word, </w:t>
        </w:r>
      </w:hyperlink>
      <w:hyperlink r:id="rIdL12">
        <w:r>
          <w:rPr>
            <w:i/>
            <w:color w:val="0563C1"/>
            <w:u w:val="single"/>
          </w:rPr>
          <w:t xml:space="preserve">The</w:t>
        </w:r>
      </w:hyperlink>
      <w:hyperlink r:id="rIdL12">
        <w:r>
          <w:rPr>
            <w:i/>
            <w:color w:val="0563C1"/>
            <w:u w:val="single"/>
          </w:rPr>
          <w:t xml:space="preserve"> Risale on </w:t>
        </w:r>
      </w:hyperlink>
      <w:hyperlink r:id="rIdL12">
        <w:r>
          <w:rPr>
            <w:i/>
            <w:color w:val="0563C1"/>
            <w:u w:val="single"/>
          </w:rPr>
          <w:t xml:space="preserve">Qadar</w:t>
        </w:r>
      </w:hyperlink>
      <w:r>
        <w:t xml:space="preserve">.) </w:t>
      </w:r>
      <w:r>
        <w:rPr>
          <w:i/>
        </w:rPr>
        <w:t xml:space="preserve">(Tr.)</w:t>
      </w:r>
    </w:p>
    <w:p>
      <w:r>
        <w:t xml:space="preserve">[7] </w:t>
      </w:r>
      <w:r>
        <w:t xml:space="preserve"> </w:t>
      </w:r>
      <w:r>
        <w:rPr>
          <w:b/>
        </w:rPr>
        <w:t xml:space="preserve">Jabriyya</w:t>
      </w:r>
      <w:r>
        <w:rPr>
          <w:b/>
        </w:rPr>
        <w:t xml:space="preserve">:</w:t>
      </w:r>
      <w:r>
        <w:t xml:space="preserve"> A bâtil madhab that fell into </w:t>
      </w:r>
      <w:hyperlink r:id="rIdL13">
        <w:r>
          <w:rPr>
            <w:i/>
            <w:color w:val="0563C1"/>
            <w:u w:val="single"/>
          </w:rPr>
          <w:t xml:space="preserve">dhalâlah</w:t>
        </w:r>
      </w:hyperlink>
      <w:r>
        <w:t xml:space="preserve"> by denying man’s juz’ al-ikhtiyârî and claiming that qadar reduces man to a state of complete compulsion devoid of any free will and choice. </w:t>
      </w:r>
      <w:r>
        <w:rPr>
          <w:i/>
        </w:rPr>
        <w:t xml:space="preserve">(Tr.)</w:t>
      </w:r>
    </w:p>
    <w:p>
      <w:r>
        <w:t xml:space="preserve">[8] </w:t>
      </w:r>
      <w:r>
        <w:t xml:space="preserve"> </w:t>
      </w:r>
      <w:r>
        <w:rPr>
          <w:b/>
        </w:rPr>
        <w:t xml:space="preserve">Mu’tazila</w:t>
      </w:r>
      <w:r>
        <w:rPr>
          <w:b/>
        </w:rPr>
        <w:t xml:space="preserve">:</w:t>
      </w:r>
      <w:r>
        <w:t xml:space="preserve"> A bâtil madhab that fell into dhalâlah by claiming that man is the owner and the creator of his actions without the interference of the qadar and the creation of Allah.</w:t>
      </w:r>
      <w:r>
        <w:rPr>
          <w:i/>
        </w:rPr>
        <w:t xml:space="preserve"> (Tr.)</w:t>
      </w:r>
    </w:p>
    <w:p>
      <w:r>
        <w:t xml:space="preserve">[9] </w:t>
      </w:r>
      <w:r>
        <w:t xml:space="preserve"> A note by Ustadh Bediuzzaman regarding the issue of the creation of actions: </w:t>
      </w:r>
    </w:p>
    <w:p>
      <w:r>
        <w:t xml:space="preserve">[9] </w:t>
      </w:r>
      <w:r>
        <w:t xml:space="preserve">“The Jabriyya is ifrât, because it reduces man from being the agent of his actions. And the Mu‘tazila is tafrît, because it attributes effect-creation (ta’sîr) to man. As for Ahl as-Sunnah, it is the wasat, since it attributes the beginning of those actions to man’s juz’ al-ikhtiyârî and their conclusions to universal </w:t>
      </w:r>
      <w:hyperlink r:id="rIdL14">
        <w:r>
          <w:rPr>
            <w:i/>
            <w:color w:val="0563C1"/>
            <w:u w:val="single"/>
          </w:rPr>
          <w:t xml:space="preserve">Irâdah</w:t>
        </w:r>
      </w:hyperlink>
      <w:r>
        <w:t xml:space="preserve"> of Allah (al-irâdah al-kulliyyah).”</w:t>
      </w:r>
    </w:p>
    <w:p>
      <w:r>
        <w:t xml:space="preserve">[10] </w:t>
      </w:r>
      <w:r>
        <w:t xml:space="preserve"> It is explained in the translation of Abdulmajid Nursi as follows: </w:t>
      </w:r>
    </w:p>
    <w:p>
      <w:r>
        <w:t xml:space="preserve">[10] </w:t>
      </w:r>
      <w:r>
        <w:t xml:space="preserve">"The ifrât degree of it is tahawwur, which is that one fears neither any </w:t>
      </w:r>
      <w:hyperlink r:id="rIdL15">
        <w:r>
          <w:rPr>
            <w:i/>
            <w:color w:val="0563C1"/>
            <w:u w:val="single"/>
          </w:rPr>
          <w:t xml:space="preserve">ma’nawî</w:t>
        </w:r>
      </w:hyperlink>
      <w:r>
        <w:t xml:space="preserve"> nor material thing." </w:t>
      </w:r>
      <w:r>
        <w:rPr>
          <w:i/>
        </w:rPr>
        <w:t xml:space="preserve">(Tr.)</w:t>
      </w:r>
    </w:p>
    <w:p>
      <w:r>
        <w:t xml:space="preserve">[11] </w:t>
      </w:r>
      <w:r>
        <w:t xml:space="preserve"> A note by Ustadh Bediuzzaman referencing 'al-Ta‘rîfât' (by al-Jurjânî) regarding the word </w:t>
      </w:r>
      <w:r>
        <w:rPr>
          <w:i/>
        </w:rPr>
        <w:t xml:space="preserve">nâmûs</w:t>
      </w:r>
      <w:r>
        <w:t xml:space="preserve">:</w:t>
      </w:r>
    </w:p>
    <w:p>
      <w:r>
        <w:t xml:space="preserve">[11] </w:t>
      </w:r>
      <w:r>
        <w:rPr>
          <w:i/>
        </w:rPr>
        <w:t xml:space="preserve">“</w:t>
      </w:r>
      <w:r>
        <w:rPr>
          <w:b/>
          <w:i/>
        </w:rPr>
        <w:t xml:space="preserve">Nâmûs</w:t>
      </w:r>
      <w:r>
        <w:rPr>
          <w:b/>
          <w:i/>
        </w:rPr>
        <w:t xml:space="preserve">:</w:t>
      </w:r>
      <w:r>
        <w:rPr>
          <w:i/>
        </w:rPr>
        <w:t xml:space="preserve"> </w:t>
      </w:r>
      <w:r>
        <w:t xml:space="preserve">What a man protects of his name, reputation and honour. In 'al-Ta‘rîfât', it is defined as: The Sharî‘ah legislated by Allah." </w:t>
      </w:r>
      <w:r>
        <w:rPr>
          <w:i/>
        </w:rPr>
        <w:t xml:space="preserve">(Tr.)</w:t>
      </w:r>
    </w:p>
    <w:p>
      <w:r>
        <w:t xml:space="preserve">[12] </w:t>
      </w:r>
      <w:r>
        <w:t xml:space="preserve"> (Stand firm in istiqâmah as you are commanded!)</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H/HAQQ.php" TargetMode="External"/><Relationship Id="rIdL2" Type="http://schemas.openxmlformats.org/officeDocument/2006/relationships/hyperlink" Target="https://risaleinur.online/english/_dictionary/I/IMAN.php" TargetMode="External"/><Relationship Id="rIdL3" Type="http://schemas.openxmlformats.org/officeDocument/2006/relationships/hyperlink" Target="https://risaleinur.online/english/_dictionary/F/FITRAH.php" TargetMode="External"/><Relationship Id="rIdL4" Type="http://schemas.openxmlformats.org/officeDocument/2006/relationships/hyperlink" Target="https://risaleinur.online/english/_dictionary/T/TARBIYYAH.php" TargetMode="External"/><Relationship Id="rIdL5" Type="http://schemas.openxmlformats.org/officeDocument/2006/relationships/hyperlink" Target="https://risaleinur.online/english/_dictionary/N/NAFS.php" TargetMode="External"/><Relationship Id="rIdL6" Type="http://schemas.openxmlformats.org/officeDocument/2006/relationships/hyperlink" Target="https://risaleinur.online/english/a/AS-SIRAT%20AL-MUSTAQIM/as_sirat_al_mustaqim.php" TargetMode="External"/><Relationship Id="rIdL7" Type="http://schemas.openxmlformats.org/officeDocument/2006/relationships/hyperlink" Target="https://risaleinur.online/english/_dictionary/I/ISTIQAMAH.php" TargetMode="External"/><Relationship Id="rIdL8" Type="http://schemas.openxmlformats.org/officeDocument/2006/relationships/hyperlink" Target="https://risaleinur.online/english/_dictionary/B/BATIL.php" TargetMode="External"/><Relationship Id="rIdL9" Type="http://schemas.openxmlformats.org/officeDocument/2006/relationships/hyperlink" Target="https://risaleinur.online/english/_dictionary/K/KHAYR.php" TargetMode="External"/><Relationship Id="rIdL10" Type="http://schemas.openxmlformats.org/officeDocument/2006/relationships/hyperlink" Target="https://risaleinur.online/english/_dictionary/Q/QADAR.php" TargetMode="External"/><Relationship Id="rIdL11" Type="http://schemas.openxmlformats.org/officeDocument/2006/relationships/hyperlink" Target="https://risaleinur.online/english/_dictionary/J/JUZ_AL-IKHTIYARI.php" TargetMode="External"/><Relationship Id="rIdL12" Type="http://schemas.openxmlformats.org/officeDocument/2006/relationships/hyperlink" Target="https://risaleinur.online/english/_rn_collection/the-words.php" TargetMode="External"/><Relationship Id="rIdL13" Type="http://schemas.openxmlformats.org/officeDocument/2006/relationships/hyperlink" Target="https://risaleinur.online/english/_dictionary/D/DHALALAH.php" TargetMode="External"/><Relationship Id="rIdL14" Type="http://schemas.openxmlformats.org/officeDocument/2006/relationships/hyperlink" Target="https://risaleinur.online/english/_dictionary/I/IRADAH.php" TargetMode="External"/><Relationship Id="rIdL15" Type="http://schemas.openxmlformats.org/officeDocument/2006/relationships/hyperlink" Target="https://risaleinur.online/english/_dictionary/M/MANAWI.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QUWWA AL-GHADHABIYYAH</dc:title>
  <dc:creator>Risaleinuronline</dc:creator>
  <cp:lastModifiedBy>Risaleinuronline</cp:lastModifiedBy>
  <dcterms:created xsi:type="dcterms:W3CDTF">2026-11-03T08:43:13Z</dcterms:created>
  <dcterms:modified xsi:type="dcterms:W3CDTF">2026-11-03T08:43:13Z</dcterms:modified>
</cp:coreProperties>
</file>