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F06C" w14:textId="77777777" w:rsidR="00C47AB6" w:rsidRDefault="00C47AB6">
      <w:pPr>
        <w:spacing w:before="120"/>
        <w:jc w:val="center"/>
      </w:pPr>
      <w:r>
        <w:rPr>
          <w:rFonts w:ascii="Calibri" w:hAnsi="Calibri" w:cs="Calibri"/>
          <w:b/>
          <w:bCs/>
          <w:color w:val="800000"/>
          <w:sz w:val="32"/>
          <w:szCs w:val="32"/>
          <w:lang w:bidi="ar-SA"/>
        </w:rPr>
        <w:t>GHIYBAH –</w:t>
      </w:r>
      <w:r>
        <w:rPr>
          <w:rFonts w:ascii="Calibri" w:hAnsi="Calibri" w:cs="Calibri"/>
          <w:color w:val="800000"/>
          <w:sz w:val="36"/>
          <w:szCs w:val="36"/>
          <w:lang w:bidi="ar-SA"/>
        </w:rPr>
        <w:t xml:space="preserve"> </w:t>
      </w:r>
      <w:r>
        <w:rPr>
          <w:rFonts w:ascii="Calibri" w:hAnsi="Calibri" w:cs="Calibri"/>
          <w:color w:val="800000"/>
          <w:sz w:val="36"/>
          <w:szCs w:val="36"/>
          <w:rtl/>
          <w:lang w:bidi="ar-SA"/>
        </w:rPr>
        <w:t>غيبة</w:t>
      </w:r>
    </w:p>
    <w:p w14:paraId="406533E7" w14:textId="77777777" w:rsidR="00B61178" w:rsidRDefault="00B61178" w:rsidP="00B61178">
      <w:pPr>
        <w:jc w:val="both"/>
        <w:rPr>
          <w:rFonts w:ascii="Calibri" w:hAnsi="Calibri" w:cs="Calibri"/>
          <w:b/>
          <w:bCs/>
        </w:rPr>
      </w:pPr>
    </w:p>
    <w:p w14:paraId="05850880" w14:textId="77777777" w:rsidR="00B61178" w:rsidRDefault="00B61178" w:rsidP="00B61178">
      <w:pPr>
        <w:jc w:val="both"/>
        <w:rPr>
          <w:rFonts w:ascii="Calibri" w:hAnsi="Calibri" w:cs="Calibri"/>
        </w:rPr>
      </w:pPr>
      <w:r w:rsidRPr="00B61178">
        <w:rPr>
          <w:rFonts w:ascii="Calibri" w:hAnsi="Calibri" w:cs="Calibri"/>
          <w:b/>
          <w:bCs/>
        </w:rPr>
        <w:t xml:space="preserve">Literally: </w:t>
      </w:r>
      <w:r w:rsidRPr="00B61178">
        <w:rPr>
          <w:rFonts w:ascii="Calibri" w:hAnsi="Calibri" w:cs="Calibri"/>
        </w:rPr>
        <w:t>Backbiting;</w:t>
      </w:r>
      <w:r w:rsidRPr="00B61178">
        <w:rPr>
          <w:rFonts w:ascii="Calibri" w:hAnsi="Calibri" w:cs="Calibri"/>
          <w:b/>
          <w:bCs/>
        </w:rPr>
        <w:t xml:space="preserve"> </w:t>
      </w:r>
      <w:r w:rsidRPr="00C04E3C">
        <w:rPr>
          <w:rFonts w:ascii="Calibri" w:hAnsi="Calibri" w:cs="Calibri"/>
        </w:rPr>
        <w:t>speaking ill of a person behind his back, or telling tales about someone in his absence.</w:t>
      </w:r>
    </w:p>
    <w:p w14:paraId="5BA3D956" w14:textId="77777777" w:rsidR="00B61178" w:rsidRPr="00C04E3C" w:rsidRDefault="00B61178" w:rsidP="00B61178">
      <w:pPr>
        <w:spacing w:before="120"/>
        <w:jc w:val="both"/>
        <w:rPr>
          <w:rFonts w:ascii="Calibri" w:hAnsi="Calibri" w:cs="Calibri"/>
        </w:rPr>
      </w:pPr>
      <w:r w:rsidRPr="00C04E3C">
        <w:rPr>
          <w:rFonts w:ascii="Calibri" w:hAnsi="Calibri" w:cs="Calibri"/>
          <w:b/>
          <w:bCs/>
        </w:rPr>
        <w:t xml:space="preserve">Etymology: </w:t>
      </w:r>
      <w:r w:rsidRPr="00C04E3C">
        <w:rPr>
          <w:rFonts w:ascii="Calibri" w:hAnsi="Calibri" w:cs="Calibri"/>
        </w:rPr>
        <w:t xml:space="preserve">Derived from the Arabic root </w:t>
      </w:r>
      <w:r w:rsidRPr="00C04E3C">
        <w:rPr>
          <w:rFonts w:ascii="Calibri" w:hAnsi="Calibri" w:cs="Calibri"/>
          <w:i/>
          <w:iCs/>
        </w:rPr>
        <w:t>gh-y-b</w:t>
      </w:r>
      <w:r w:rsidRPr="00C04E3C">
        <w:rPr>
          <w:rFonts w:ascii="Calibri" w:hAnsi="Calibri" w:cs="Calibri"/>
        </w:rPr>
        <w:t xml:space="preserve"> (</w:t>
      </w:r>
      <w:r w:rsidRPr="00C04E3C">
        <w:rPr>
          <w:rFonts w:ascii="Calibri" w:hAnsi="Calibri" w:cs="Calibri"/>
          <w:color w:val="EE0000"/>
          <w:sz w:val="28"/>
          <w:szCs w:val="28"/>
          <w:rtl/>
        </w:rPr>
        <w:t>غ ي ب</w:t>
      </w:r>
      <w:r w:rsidRPr="00C04E3C">
        <w:rPr>
          <w:rFonts w:ascii="Calibri" w:hAnsi="Calibri" w:cs="Calibri"/>
        </w:rPr>
        <w:t xml:space="preserve">), which signifies absence, concealment, or being hidden from sight, </w:t>
      </w:r>
      <w:r w:rsidRPr="00C04E3C">
        <w:rPr>
          <w:rFonts w:ascii="Calibri" w:hAnsi="Calibri" w:cs="Calibri"/>
          <w:i/>
          <w:iCs/>
        </w:rPr>
        <w:t>gh</w:t>
      </w:r>
      <w:r>
        <w:rPr>
          <w:rFonts w:ascii="Calibri" w:hAnsi="Calibri" w:cs="Calibri"/>
          <w:i/>
          <w:iCs/>
        </w:rPr>
        <w:t>i</w:t>
      </w:r>
      <w:r w:rsidRPr="00C04E3C">
        <w:rPr>
          <w:rFonts w:ascii="Calibri" w:hAnsi="Calibri" w:cs="Calibri"/>
          <w:i/>
          <w:iCs/>
        </w:rPr>
        <w:t>ybah</w:t>
      </w:r>
      <w:r w:rsidRPr="00C04E3C">
        <w:rPr>
          <w:rFonts w:ascii="Calibri" w:hAnsi="Calibri" w:cs="Calibri"/>
        </w:rPr>
        <w:t xml:space="preserve"> etymologically denotes an action directed at someone who is physically absent and unaware.</w:t>
      </w:r>
    </w:p>
    <w:p w14:paraId="37D592FB" w14:textId="77777777" w:rsidR="00B61178" w:rsidRPr="00C04E3C" w:rsidRDefault="00B61178" w:rsidP="00B61178">
      <w:pPr>
        <w:spacing w:before="120"/>
        <w:jc w:val="both"/>
        <w:rPr>
          <w:rFonts w:ascii="Calibri" w:hAnsi="Calibri" w:cs="Calibri"/>
          <w:b/>
          <w:bCs/>
        </w:rPr>
      </w:pPr>
      <w:r w:rsidRPr="00C04E3C">
        <w:rPr>
          <w:rFonts w:ascii="Calibri" w:hAnsi="Calibri" w:cs="Calibri"/>
          <w:b/>
          <w:bCs/>
        </w:rPr>
        <w:t xml:space="preserve">As an Islamic Term: </w:t>
      </w:r>
      <w:r w:rsidRPr="00C04E3C">
        <w:rPr>
          <w:rFonts w:ascii="Calibri" w:hAnsi="Calibri" w:cs="Calibri"/>
        </w:rPr>
        <w:t xml:space="preserve">Maliciously discussing in their absence a Muslim brother or sister's defect or characteristic that they actually possess, yet they would dislike to have mentioned. If the spoken matter is false, it is no longer </w:t>
      </w:r>
      <w:r w:rsidRPr="00C04E3C">
        <w:rPr>
          <w:rFonts w:ascii="Calibri" w:hAnsi="Calibri" w:cs="Calibri"/>
          <w:i/>
          <w:iCs/>
        </w:rPr>
        <w:t>ghiybah</w:t>
      </w:r>
      <w:r w:rsidRPr="00C04E3C">
        <w:rPr>
          <w:rFonts w:ascii="Calibri" w:hAnsi="Calibri" w:cs="Calibri"/>
        </w:rPr>
        <w:t xml:space="preserve"> but rather slander or defamation (</w:t>
      </w:r>
      <w:r w:rsidRPr="00C04E3C">
        <w:rPr>
          <w:rFonts w:ascii="Calibri" w:hAnsi="Calibri" w:cs="Calibri"/>
          <w:i/>
          <w:iCs/>
        </w:rPr>
        <w:t>iftirâ</w:t>
      </w:r>
      <w:r w:rsidRPr="00C04E3C">
        <w:rPr>
          <w:rFonts w:ascii="Calibri" w:hAnsi="Calibri" w:cs="Calibri"/>
        </w:rPr>
        <w:t xml:space="preserve"> or </w:t>
      </w:r>
      <w:r w:rsidRPr="00C04E3C">
        <w:rPr>
          <w:rFonts w:ascii="Calibri" w:hAnsi="Calibri" w:cs="Calibri"/>
          <w:i/>
          <w:iCs/>
        </w:rPr>
        <w:t>buhtân</w:t>
      </w:r>
      <w:r w:rsidRPr="00C04E3C">
        <w:rPr>
          <w:rFonts w:ascii="Calibri" w:hAnsi="Calibri" w:cs="Calibri"/>
        </w:rPr>
        <w:t xml:space="preserve">), which constitutes a separate and grievous sin in the </w:t>
      </w:r>
      <w:proofErr w:type="gramStart"/>
      <w:r w:rsidRPr="00C04E3C">
        <w:rPr>
          <w:rFonts w:ascii="Calibri" w:hAnsi="Calibri" w:cs="Calibri"/>
          <w:i/>
          <w:iCs/>
        </w:rPr>
        <w:t>Sharî‘</w:t>
      </w:r>
      <w:proofErr w:type="gramEnd"/>
      <w:r w:rsidRPr="00C04E3C">
        <w:rPr>
          <w:rFonts w:ascii="Calibri" w:hAnsi="Calibri" w:cs="Calibri"/>
          <w:i/>
          <w:iCs/>
        </w:rPr>
        <w:t>ah</w:t>
      </w:r>
      <w:r w:rsidRPr="00C04E3C">
        <w:rPr>
          <w:rFonts w:ascii="Calibri" w:hAnsi="Calibri" w:cs="Calibri"/>
        </w:rPr>
        <w:t>.</w:t>
      </w:r>
    </w:p>
    <w:p w14:paraId="17747FC0" w14:textId="77777777" w:rsidR="00C47AB6" w:rsidRPr="00B61178" w:rsidRDefault="00B61178">
      <w:pPr>
        <w:spacing w:before="120"/>
        <w:jc w:val="both"/>
        <w:rPr>
          <w:rFonts w:ascii="Calibri" w:hAnsi="Calibri" w:cs="Calibri"/>
          <w:i/>
          <w:iCs/>
          <w:lang w:bidi="ar-SA"/>
        </w:rPr>
      </w:pPr>
      <w:r w:rsidRPr="00B61178">
        <w:rPr>
          <w:rFonts w:ascii="Calibri" w:hAnsi="Calibri" w:cs="Calibri"/>
          <w:i/>
          <w:iCs/>
          <w:lang w:bidi="ar-SA"/>
        </w:rPr>
        <w:t>(</w:t>
      </w:r>
      <w:r w:rsidR="009351A5" w:rsidRPr="00B61178">
        <w:rPr>
          <w:rFonts w:ascii="Calibri" w:hAnsi="Calibri" w:cs="Calibri"/>
          <w:i/>
          <w:iCs/>
          <w:lang w:bidi="ar-SA"/>
        </w:rPr>
        <w:t xml:space="preserve">For further explanation, please refer to </w:t>
      </w:r>
      <w:hyperlink r:id="rId6" w:history="1">
        <w:r w:rsidR="009351A5" w:rsidRPr="00B61178">
          <w:rPr>
            <w:rStyle w:val="Hyperlink"/>
            <w:rFonts w:ascii="Calibri" w:hAnsi="Calibri" w:cs="Calibri"/>
            <w:i/>
            <w:iCs/>
            <w:lang w:bidi="ar-SA"/>
          </w:rPr>
          <w:t>the Conclusion of the Twenty-Second Letter</w:t>
        </w:r>
      </w:hyperlink>
      <w:r w:rsidR="009351A5" w:rsidRPr="00B61178">
        <w:rPr>
          <w:rFonts w:ascii="Calibri" w:hAnsi="Calibri" w:cs="Calibri"/>
          <w:i/>
          <w:iCs/>
          <w:lang w:bidi="ar-SA"/>
        </w:rPr>
        <w:t>.</w:t>
      </w:r>
      <w:r w:rsidRPr="00B61178">
        <w:rPr>
          <w:rFonts w:ascii="Calibri" w:hAnsi="Calibri" w:cs="Calibri"/>
          <w:i/>
          <w:iCs/>
          <w:lang w:bidi="ar-SA"/>
        </w:rPr>
        <w:t>)</w:t>
      </w:r>
    </w:p>
    <w:p w14:paraId="6B55B70C" w14:textId="77777777" w:rsidR="00C47AB6" w:rsidRDefault="00C47AB6" w:rsidP="004A5D53">
      <w:pPr>
        <w:spacing w:before="120"/>
        <w:jc w:val="center"/>
      </w:pPr>
    </w:p>
    <w:sectPr w:rsidR="00C47AB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41EA8" w14:textId="77777777" w:rsidR="00CC03E0" w:rsidRDefault="00CC03E0">
      <w:r>
        <w:separator/>
      </w:r>
    </w:p>
  </w:endnote>
  <w:endnote w:type="continuationSeparator" w:id="0">
    <w:p w14:paraId="75F65005" w14:textId="77777777" w:rsidR="00CC03E0" w:rsidRDefault="00CC0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2B82" w14:textId="77777777" w:rsidR="00CC03E0" w:rsidRDefault="00CC03E0">
      <w:r>
        <w:separator/>
      </w:r>
    </w:p>
  </w:footnote>
  <w:footnote w:type="continuationSeparator" w:id="0">
    <w:p w14:paraId="5DC70925" w14:textId="77777777" w:rsidR="00CC03E0" w:rsidRDefault="00CC0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K1NDY1MTeyNDa0tDBQ0lEKTi0uzszPAykwrAUAbIQH0iwAAAA="/>
  </w:docVars>
  <w:rsids>
    <w:rsidRoot w:val="004A5D53"/>
    <w:rsid w:val="003263ED"/>
    <w:rsid w:val="004646E3"/>
    <w:rsid w:val="004A5D53"/>
    <w:rsid w:val="00913030"/>
    <w:rsid w:val="009351A5"/>
    <w:rsid w:val="00B61178"/>
    <w:rsid w:val="00C47AB6"/>
    <w:rsid w:val="00CC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DB3E3A"/>
  <w15:chartTrackingRefBased/>
  <w15:docId w15:val="{1E1D3385-1CBE-414B-8831-54347E55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VarsaylanParagrafYazTipi1">
    <w:name w:val="Varsayılan Paragraf Yazı Tipi1"/>
  </w:style>
  <w:style w:type="character" w:customStyle="1" w:styleId="DipnotKarakterleri">
    <w:name w:val="Dipnot Karakterleri"/>
    <w:uiPriority w:val="99"/>
    <w:qFormat/>
    <w:rPr>
      <w:vertAlign w:val="superscript"/>
    </w:rPr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Bavurusu">
    <w:name w:val="Dipnot Başvurusu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rPr>
      <w:sz w:val="20"/>
      <w:szCs w:val="20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noteTextChar">
    <w:name w:val="Footnote Text Char"/>
    <w:link w:val="FootnoteText"/>
    <w:rsid w:val="004A5D53"/>
    <w:rPr>
      <w:lang w:val="tr-TR" w:eastAsia="zh-CN" w:bidi="ar-AE"/>
    </w:rPr>
  </w:style>
  <w:style w:type="character" w:styleId="Hyperlink">
    <w:name w:val="Hyperlink"/>
    <w:uiPriority w:val="99"/>
    <w:unhideWhenUsed/>
    <w:rsid w:val="00B6117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61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rn_collection/THE_LETTERS/22ND%20LETTER/Conclusion_On_Ghiybah.ph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GHIYBAH – غيبة</vt:lpstr>
    </vt:vector>
  </TitlesOfParts>
  <Company/>
  <LinksUpToDate>false</LinksUpToDate>
  <CharactersWithSpaces>907</CharactersWithSpaces>
  <SharedDoc>false</SharedDoc>
  <HLinks>
    <vt:vector size="6" baseType="variant">
      <vt:variant>
        <vt:i4>8257558</vt:i4>
      </vt:variant>
      <vt:variant>
        <vt:i4>0</vt:i4>
      </vt:variant>
      <vt:variant>
        <vt:i4>0</vt:i4>
      </vt:variant>
      <vt:variant>
        <vt:i4>5</vt:i4>
      </vt:variant>
      <vt:variant>
        <vt:lpwstr>https://risaleinur.online/english/_rn_collection/THE_LETTERS/22ND LETTER/Conclusion_On_Ghiybah.php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GHIYBAH – غيبة</dc:title>
  <dc:subject/>
  <dc:creator>DURUKAN</dc:creator>
  <cp:keywords/>
  <cp:lastModifiedBy>zulal durukan</cp:lastModifiedBy>
  <cp:revision>2</cp:revision>
  <cp:lastPrinted>1995-11-21T15:41:00Z</cp:lastPrinted>
  <dcterms:created xsi:type="dcterms:W3CDTF">2026-09-15T12:10:00Z</dcterms:created>
  <dcterms:modified xsi:type="dcterms:W3CDTF">2026-09-15T12:10:00Z</dcterms:modified>
</cp:coreProperties>
</file>