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2D2CD9" w14:textId="77777777" w:rsidR="004657DC" w:rsidRPr="001B5AD9" w:rsidRDefault="004657DC">
      <w:pPr>
        <w:spacing w:before="120"/>
        <w:jc w:val="center"/>
        <w:rPr>
          <w:lang w:val="en-GB"/>
        </w:rPr>
      </w:pPr>
      <w:r w:rsidRPr="001B5AD9">
        <w:rPr>
          <w:rFonts w:ascii="Calibri" w:hAnsi="Calibri" w:cs="Calibri"/>
          <w:b/>
          <w:bCs/>
          <w:color w:val="800000"/>
          <w:sz w:val="32"/>
          <w:szCs w:val="32"/>
          <w:shd w:val="clear" w:color="auto" w:fill="FFFFFF"/>
          <w:lang w:val="en-GB"/>
        </w:rPr>
        <w:t>ÂKHIRZAMAN -</w:t>
      </w:r>
      <w:r w:rsidRPr="001B5AD9">
        <w:rPr>
          <w:rFonts w:ascii="Calibri" w:hAnsi="Calibri" w:cs="Calibri"/>
          <w:color w:val="800000"/>
          <w:sz w:val="36"/>
          <w:szCs w:val="36"/>
          <w:shd w:val="clear" w:color="auto" w:fill="FFFFFF"/>
          <w:lang w:val="en-GB"/>
        </w:rPr>
        <w:t xml:space="preserve"> </w:t>
      </w:r>
      <w:r w:rsidRPr="001B5AD9">
        <w:rPr>
          <w:rFonts w:ascii="Calibri" w:hAnsi="Calibri" w:cs="Calibri"/>
          <w:color w:val="800000"/>
          <w:sz w:val="36"/>
          <w:szCs w:val="36"/>
          <w:shd w:val="clear" w:color="auto" w:fill="FFFFFF"/>
          <w:rtl/>
          <w:lang w:val="en-GB"/>
        </w:rPr>
        <w:t>آخر الزمان</w:t>
      </w:r>
    </w:p>
    <w:p w14:paraId="1A1E3210" w14:textId="77777777" w:rsidR="004657DC" w:rsidRPr="001B5AD9" w:rsidRDefault="004657DC">
      <w:pPr>
        <w:widowControl w:val="0"/>
        <w:spacing w:before="120"/>
        <w:jc w:val="both"/>
        <w:rPr>
          <w:rFonts w:ascii="Calibri" w:hAnsi="Calibri" w:cs="Calibri"/>
          <w:color w:val="404040"/>
          <w:sz w:val="12"/>
          <w:szCs w:val="12"/>
          <w:lang w:val="en-GB"/>
        </w:rPr>
      </w:pPr>
    </w:p>
    <w:p w14:paraId="13735042" w14:textId="77777777" w:rsidR="00584989" w:rsidRPr="001B5AD9" w:rsidRDefault="00584989" w:rsidP="00584989">
      <w:pPr>
        <w:spacing w:before="120"/>
        <w:jc w:val="both"/>
        <w:rPr>
          <w:rFonts w:ascii="Calibri" w:hAnsi="Calibri" w:cs="Calibri"/>
          <w:lang w:val="en-GB"/>
        </w:rPr>
      </w:pPr>
      <w:r w:rsidRPr="001B5AD9">
        <w:rPr>
          <w:rFonts w:ascii="Calibri" w:hAnsi="Calibri" w:cs="Calibri"/>
          <w:lang w:val="en-GB"/>
        </w:rPr>
        <w:t xml:space="preserve">Literally means the end of time; the final age. </w:t>
      </w:r>
    </w:p>
    <w:p w14:paraId="49DAA02F" w14:textId="77777777" w:rsidR="0016416C" w:rsidRPr="001B5AD9" w:rsidRDefault="00584989" w:rsidP="00584989">
      <w:pPr>
        <w:spacing w:before="120"/>
        <w:jc w:val="both"/>
        <w:rPr>
          <w:rFonts w:ascii="Calibri" w:hAnsi="Calibri" w:cs="Calibri"/>
          <w:lang w:val="en-GB"/>
        </w:rPr>
      </w:pPr>
      <w:r w:rsidRPr="001B5AD9">
        <w:rPr>
          <w:rFonts w:ascii="Calibri" w:hAnsi="Calibri" w:cs="Calibri"/>
          <w:b/>
          <w:bCs/>
          <w:lang w:val="en-GB"/>
        </w:rPr>
        <w:t>As an Islamic Term:</w:t>
      </w:r>
      <w:r w:rsidRPr="001B5AD9">
        <w:rPr>
          <w:rFonts w:ascii="Calibri" w:hAnsi="Calibri" w:cs="Calibri"/>
          <w:lang w:val="en-GB"/>
        </w:rPr>
        <w:t xml:space="preserve"> The final period and epoch of the earth's life leading up to </w:t>
      </w:r>
      <w:hyperlink r:id="rId7" w:history="1">
        <w:r w:rsidRPr="00A11B64">
          <w:rPr>
            <w:rStyle w:val="Hyperlink"/>
            <w:rFonts w:ascii="Calibri" w:hAnsi="Calibri" w:cs="Calibri"/>
            <w:lang w:val="en-GB"/>
          </w:rPr>
          <w:t>qiyâmah</w:t>
        </w:r>
      </w:hyperlink>
      <w:r w:rsidRPr="001B5AD9">
        <w:rPr>
          <w:rFonts w:ascii="Calibri" w:hAnsi="Calibri" w:cs="Calibri"/>
          <w:lang w:val="en-GB"/>
        </w:rPr>
        <w:t xml:space="preserve">; it denotes a specific era characterised by severe trials, moral corruption and </w:t>
      </w:r>
      <w:hyperlink r:id="rId8" w:history="1">
        <w:r w:rsidRPr="00A11B64">
          <w:rPr>
            <w:rStyle w:val="Hyperlink"/>
            <w:rFonts w:ascii="Calibri" w:hAnsi="Calibri" w:cs="Calibri"/>
            <w:lang w:val="en-GB"/>
          </w:rPr>
          <w:t>ma’nawî</w:t>
        </w:r>
      </w:hyperlink>
      <w:r w:rsidRPr="001B5AD9">
        <w:rPr>
          <w:rFonts w:ascii="Calibri" w:hAnsi="Calibri" w:cs="Calibri"/>
          <w:lang w:val="en-GB"/>
        </w:rPr>
        <w:t xml:space="preserve"> crises, yet balanced by the ultimate ma’nawî triumph of the </w:t>
      </w:r>
      <w:hyperlink r:id="rId9" w:history="1">
        <w:r w:rsidRPr="00A11B64">
          <w:rPr>
            <w:rStyle w:val="Hyperlink"/>
            <w:rFonts w:ascii="Calibri" w:hAnsi="Calibri" w:cs="Calibri"/>
            <w:lang w:val="en-GB"/>
          </w:rPr>
          <w:t>haqiqahs</w:t>
        </w:r>
      </w:hyperlink>
      <w:r w:rsidRPr="001B5AD9">
        <w:rPr>
          <w:rFonts w:ascii="Calibri" w:hAnsi="Calibri" w:cs="Calibri"/>
          <w:lang w:val="en-GB"/>
        </w:rPr>
        <w:t xml:space="preserve"> of Islam and </w:t>
      </w:r>
      <w:hyperlink r:id="rId10" w:history="1">
        <w:r w:rsidRPr="00A11B64">
          <w:rPr>
            <w:rStyle w:val="Hyperlink"/>
            <w:rFonts w:ascii="Calibri" w:hAnsi="Calibri" w:cs="Calibri"/>
            <w:lang w:val="en-GB"/>
          </w:rPr>
          <w:t>îmân</w:t>
        </w:r>
      </w:hyperlink>
      <w:r w:rsidRPr="001B5AD9">
        <w:rPr>
          <w:rFonts w:ascii="Calibri" w:hAnsi="Calibri" w:cs="Calibri"/>
          <w:lang w:val="en-GB"/>
        </w:rPr>
        <w:t>.</w:t>
      </w:r>
    </w:p>
    <w:p w14:paraId="63400B5B" w14:textId="77777777" w:rsidR="007F2E7D" w:rsidRPr="001B5AD9" w:rsidRDefault="00A11B64" w:rsidP="007F2E7D">
      <w:pPr>
        <w:spacing w:before="120"/>
        <w:jc w:val="both"/>
        <w:rPr>
          <w:rFonts w:ascii="Calibri" w:hAnsi="Calibri" w:cs="Calibri"/>
          <w:b/>
          <w:bCs/>
          <w:lang w:val="en-GB"/>
        </w:rPr>
      </w:pPr>
      <w:r>
        <w:rPr>
          <w:rFonts w:ascii="Calibri" w:hAnsi="Calibri" w:cs="Calibri"/>
          <w:b/>
          <w:bCs/>
          <w:lang w:val="en-GB"/>
        </w:rPr>
        <w:t>O</w:t>
      </w:r>
      <w:r w:rsidR="007F2E7D" w:rsidRPr="001B5AD9">
        <w:rPr>
          <w:rFonts w:ascii="Calibri" w:hAnsi="Calibri" w:cs="Calibri"/>
          <w:b/>
          <w:bCs/>
          <w:lang w:val="en-GB"/>
        </w:rPr>
        <w:t xml:space="preserve">n the explanation of the hadiths: </w:t>
      </w:r>
    </w:p>
    <w:p w14:paraId="2B008B8F" w14:textId="77777777" w:rsidR="007F2E7D" w:rsidRPr="001B5AD9" w:rsidRDefault="007F2E7D" w:rsidP="007F2E7D">
      <w:pPr>
        <w:spacing w:before="120"/>
        <w:jc w:val="center"/>
        <w:rPr>
          <w:rFonts w:ascii="Calibri" w:hAnsi="Calibri" w:cs="Calibri"/>
          <w:color w:val="FF0000"/>
          <w:sz w:val="28"/>
          <w:szCs w:val="28"/>
          <w:lang w:val="en-GB"/>
        </w:rPr>
      </w:pPr>
      <w:r w:rsidRPr="001B5AD9">
        <w:rPr>
          <w:rFonts w:ascii="Calibri" w:hAnsi="Calibri" w:cs="Calibri"/>
          <w:color w:val="FF0000"/>
          <w:sz w:val="28"/>
          <w:szCs w:val="28"/>
          <w:rtl/>
          <w:lang w:val="en-GB"/>
        </w:rPr>
        <w:t>طُوبَى لِمَنْ رَآنِي وَآمَنَ بِي، وَطُوبَى — سَبْعَ مَرَّاتٍ — لِمَنْ آمَنَ بِي وَلَمْ يَرَنِي</w:t>
      </w:r>
    </w:p>
    <w:p w14:paraId="4EF6BD32" w14:textId="77777777" w:rsidR="007F2E7D" w:rsidRPr="001B5AD9" w:rsidRDefault="007F2E7D" w:rsidP="007F2E7D">
      <w:pPr>
        <w:spacing w:before="120"/>
        <w:jc w:val="both"/>
        <w:rPr>
          <w:rFonts w:ascii="Calibri" w:hAnsi="Calibri" w:cs="Calibri"/>
          <w:lang w:val="en-GB"/>
        </w:rPr>
      </w:pPr>
      <w:r w:rsidRPr="001B5AD9">
        <w:rPr>
          <w:rFonts w:ascii="Calibri" w:hAnsi="Calibri" w:cs="Calibri"/>
          <w:lang w:val="en-GB"/>
        </w:rPr>
        <w:t>"Blessed is he who saw me and believed in me; and blessed—seven times over—is he who believes in me without having seen me."</w:t>
      </w:r>
      <w:r w:rsidRPr="001B5AD9">
        <w:rPr>
          <w:rStyle w:val="FootnoteReference"/>
          <w:rFonts w:ascii="Calibri" w:hAnsi="Calibri" w:cs="Calibri"/>
          <w:lang w:val="en-GB"/>
        </w:rPr>
        <w:footnoteReference w:id="1"/>
      </w:r>
    </w:p>
    <w:p w14:paraId="6AC5159B" w14:textId="77777777" w:rsidR="007F2E7D" w:rsidRPr="007F2E7D" w:rsidRDefault="007F2E7D" w:rsidP="007F2E7D">
      <w:pPr>
        <w:spacing w:before="120"/>
        <w:jc w:val="center"/>
        <w:rPr>
          <w:rFonts w:ascii="Calibri" w:hAnsi="Calibri" w:cs="Calibri"/>
          <w:color w:val="FF0000"/>
          <w:sz w:val="28"/>
          <w:szCs w:val="28"/>
          <w:lang w:val="en-GB"/>
        </w:rPr>
      </w:pPr>
      <w:r w:rsidRPr="007F2E7D">
        <w:rPr>
          <w:rFonts w:ascii="Calibri" w:hAnsi="Calibri" w:cs="Calibri"/>
          <w:color w:val="FF0000"/>
          <w:sz w:val="28"/>
          <w:szCs w:val="28"/>
          <w:rtl/>
          <w:lang w:val="en-GB" w:bidi="ar-SA"/>
        </w:rPr>
        <w:t>وَدِدْتُ أَنَّا قَدْ رَأَيْنَا إِخْوَانَنَا... الَّذِينَ يِأْتُونَ مِنْ بَعْدِي وَلَمْ يَرَوْنِي وَيُؤْمِنُونَ بِي</w:t>
      </w:r>
    </w:p>
    <w:p w14:paraId="25DAD179" w14:textId="77777777" w:rsidR="007F2E7D" w:rsidRPr="007F2E7D" w:rsidRDefault="007F2E7D" w:rsidP="007F2E7D">
      <w:pPr>
        <w:spacing w:before="120"/>
        <w:jc w:val="both"/>
        <w:rPr>
          <w:rFonts w:ascii="Calibri" w:hAnsi="Calibri" w:cs="Calibri"/>
          <w:lang w:val="en-GB"/>
        </w:rPr>
      </w:pPr>
      <w:r w:rsidRPr="007F2E7D">
        <w:rPr>
          <w:rFonts w:ascii="Calibri" w:hAnsi="Calibri" w:cs="Calibri"/>
          <w:lang w:val="en-GB"/>
        </w:rPr>
        <w:t>"I would love to have seen our brothers... those who come after me, who believe in me without having seen me."</w:t>
      </w:r>
      <w:r w:rsidR="00556FD5" w:rsidRPr="001B5AD9">
        <w:rPr>
          <w:rStyle w:val="FootnoteReference"/>
          <w:rFonts w:ascii="Calibri" w:hAnsi="Calibri" w:cs="Calibri"/>
          <w:lang w:val="en-GB"/>
        </w:rPr>
        <w:footnoteReference w:id="2"/>
      </w:r>
    </w:p>
    <w:p w14:paraId="56A2D3AA" w14:textId="77777777" w:rsidR="007F2E7D" w:rsidRPr="00A11B64" w:rsidRDefault="00A11B64" w:rsidP="00A11B64">
      <w:pPr>
        <w:spacing w:before="120"/>
        <w:jc w:val="both"/>
        <w:rPr>
          <w:rFonts w:ascii="Calibri" w:hAnsi="Calibri" w:cs="Calibri"/>
          <w:b/>
          <w:bCs/>
          <w:i/>
          <w:iCs/>
          <w:lang w:val="en-GB"/>
        </w:rPr>
      </w:pPr>
      <w:r w:rsidRPr="00A11B64">
        <w:rPr>
          <w:rFonts w:ascii="Calibri" w:hAnsi="Calibri" w:cs="Calibri"/>
          <w:b/>
          <w:bCs/>
          <w:i/>
          <w:iCs/>
        </w:rPr>
        <w:t>— An excerpt from The Twenty-Seventh Word:</w:t>
      </w:r>
    </w:p>
    <w:p w14:paraId="3F9F1040" w14:textId="77777777" w:rsidR="00C6720E" w:rsidRPr="001B5AD9" w:rsidRDefault="00C6720E" w:rsidP="007F2E7D">
      <w:pPr>
        <w:spacing w:before="120"/>
        <w:jc w:val="both"/>
        <w:rPr>
          <w:rFonts w:ascii="Calibri" w:hAnsi="Calibri" w:cs="Calibri"/>
          <w:lang w:val="en-GB"/>
        </w:rPr>
      </w:pPr>
      <w:r w:rsidRPr="001B5AD9">
        <w:rPr>
          <w:rFonts w:ascii="Calibri" w:hAnsi="Calibri" w:cs="Calibri"/>
          <w:b/>
          <w:bCs/>
          <w:lang w:val="en-GB"/>
        </w:rPr>
        <w:t>Question:</w:t>
      </w:r>
      <w:r w:rsidRPr="001B5AD9">
        <w:rPr>
          <w:rFonts w:ascii="Calibri" w:hAnsi="Calibri" w:cs="Calibri"/>
          <w:lang w:val="en-GB"/>
        </w:rPr>
        <w:t xml:space="preserve"> It is said that the </w:t>
      </w:r>
      <w:r w:rsidRPr="001B5AD9">
        <w:rPr>
          <w:rStyle w:val="DipnotSabitleyicisi"/>
          <w:rFonts w:ascii="Calibri" w:hAnsi="Calibri" w:cs="Calibri"/>
          <w:color w:val="000000"/>
          <w:vertAlign w:val="baseline"/>
          <w:lang w:val="en-GB" w:eastAsia="tr-TR" w:bidi="ar-SA"/>
        </w:rPr>
        <w:t>Sahabah</w:t>
      </w:r>
      <w:r w:rsidRPr="001B5AD9">
        <w:rPr>
          <w:rFonts w:ascii="Calibri" w:hAnsi="Calibri" w:cs="Calibri"/>
          <w:lang w:val="en-GB"/>
        </w:rPr>
        <w:t xml:space="preserve"> saw </w:t>
      </w:r>
      <w:r w:rsidRPr="001B5AD9">
        <w:rPr>
          <w:rFonts w:ascii="Calibri" w:hAnsi="Calibri" w:cs="Calibri"/>
          <w:color w:val="000000"/>
          <w:lang w:val="en-GB"/>
        </w:rPr>
        <w:t>Ar-Rasûl Al-Akram ‘Alayhissalâtu Wassalâm</w:t>
      </w:r>
      <w:r w:rsidRPr="001B5AD9">
        <w:rPr>
          <w:rFonts w:ascii="Calibri" w:hAnsi="Calibri" w:cs="Calibri"/>
          <w:lang w:val="en-GB"/>
        </w:rPr>
        <w:t xml:space="preserve">, then they believed. </w:t>
      </w:r>
      <w:r w:rsidR="00556FD5" w:rsidRPr="001B5AD9">
        <w:rPr>
          <w:rFonts w:ascii="Calibri" w:hAnsi="Calibri" w:cs="Calibri"/>
          <w:lang w:val="en-GB"/>
        </w:rPr>
        <w:t xml:space="preserve">We, however, believed </w:t>
      </w:r>
      <w:r w:rsidRPr="001B5AD9">
        <w:rPr>
          <w:rFonts w:ascii="Calibri" w:hAnsi="Calibri" w:cs="Calibri"/>
          <w:lang w:val="en-GB"/>
        </w:rPr>
        <w:t xml:space="preserve">without seeing him. </w:t>
      </w:r>
      <w:r w:rsidR="00556FD5" w:rsidRPr="001B5AD9">
        <w:rPr>
          <w:rFonts w:ascii="Calibri" w:hAnsi="Calibri" w:cs="Calibri"/>
          <w:lang w:val="en-GB"/>
        </w:rPr>
        <w:t xml:space="preserve">Therefore, </w:t>
      </w:r>
      <w:r w:rsidRPr="001B5AD9">
        <w:rPr>
          <w:rFonts w:ascii="Calibri" w:hAnsi="Calibri" w:cs="Calibri"/>
          <w:lang w:val="en-GB"/>
        </w:rPr>
        <w:t xml:space="preserve">our îmân is stronger. </w:t>
      </w:r>
      <w:r w:rsidR="00556FD5" w:rsidRPr="001B5AD9">
        <w:rPr>
          <w:rFonts w:ascii="Calibri" w:hAnsi="Calibri" w:cs="Calibri"/>
          <w:lang w:val="en-GB"/>
        </w:rPr>
        <w:t xml:space="preserve">Moreover, </w:t>
      </w:r>
      <w:r w:rsidRPr="001B5AD9">
        <w:rPr>
          <w:rFonts w:ascii="Calibri" w:hAnsi="Calibri" w:cs="Calibri"/>
          <w:lang w:val="en-GB"/>
        </w:rPr>
        <w:t>there are riw</w:t>
      </w:r>
      <w:r w:rsidRPr="001B5AD9">
        <w:rPr>
          <w:rFonts w:ascii="Calibri" w:hAnsi="Calibri" w:cs="Calibri"/>
          <w:color w:val="000000"/>
          <w:lang w:val="en-GB"/>
        </w:rPr>
        <w:t xml:space="preserve">âyât </w:t>
      </w:r>
      <w:r w:rsidRPr="001B5AD9">
        <w:rPr>
          <w:rFonts w:ascii="Calibri" w:hAnsi="Calibri" w:cs="Calibri"/>
          <w:lang w:val="en-GB"/>
        </w:rPr>
        <w:t>that indicate the strength of our îmân.</w:t>
      </w:r>
    </w:p>
    <w:p w14:paraId="543F4BE1" w14:textId="77777777" w:rsidR="00614C37" w:rsidRPr="001B5AD9" w:rsidRDefault="00C6720E" w:rsidP="00DA56DC">
      <w:pPr>
        <w:spacing w:before="120"/>
        <w:jc w:val="both"/>
        <w:rPr>
          <w:rFonts w:ascii="Calibri" w:hAnsi="Calibri" w:cs="Calibri"/>
          <w:color w:val="000000"/>
          <w:lang w:val="en-GB"/>
        </w:rPr>
      </w:pPr>
      <w:r w:rsidRPr="001B5AD9">
        <w:rPr>
          <w:rFonts w:ascii="Calibri" w:hAnsi="Calibri" w:cs="Calibri"/>
          <w:b/>
          <w:bCs/>
          <w:lang w:val="en-GB"/>
        </w:rPr>
        <w:t>The Answer:</w:t>
      </w:r>
      <w:r w:rsidRPr="001B5AD9">
        <w:rPr>
          <w:rFonts w:ascii="Calibri" w:hAnsi="Calibri" w:cs="Calibri"/>
          <w:lang w:val="en-GB"/>
        </w:rPr>
        <w:t xml:space="preserve"> </w:t>
      </w:r>
      <w:r w:rsidR="005D478F" w:rsidRPr="001B5AD9">
        <w:rPr>
          <w:rFonts w:ascii="Calibri" w:hAnsi="Calibri" w:cs="Calibri"/>
          <w:lang w:val="en-GB"/>
        </w:rPr>
        <w:t xml:space="preserve">At that time, while the prevalent opinion of the world was antagonistic and hostile to </w:t>
      </w:r>
      <w:r w:rsidRPr="001B5AD9">
        <w:rPr>
          <w:rFonts w:ascii="Calibri" w:hAnsi="Calibri" w:cs="Calibri"/>
          <w:lang w:val="en-GB"/>
        </w:rPr>
        <w:t xml:space="preserve">the haqiqahs of Islam, </w:t>
      </w:r>
      <w:r w:rsidR="005D478F" w:rsidRPr="001B5AD9">
        <w:rPr>
          <w:rFonts w:ascii="Calibri" w:hAnsi="Calibri" w:cs="Calibri"/>
          <w:lang w:val="en-GB"/>
        </w:rPr>
        <w:t xml:space="preserve">the Sahabah — merely by seeing </w:t>
      </w:r>
      <w:r w:rsidRPr="001B5AD9">
        <w:rPr>
          <w:rFonts w:ascii="Calibri" w:hAnsi="Calibri" w:cs="Calibri"/>
          <w:color w:val="000000"/>
          <w:lang w:val="en-GB"/>
        </w:rPr>
        <w:t xml:space="preserve">Ar-Rasûl Al-Akram ‘Alayhissalâtu Wassalâm </w:t>
      </w:r>
      <w:r w:rsidR="005D478F" w:rsidRPr="001B5AD9">
        <w:rPr>
          <w:rFonts w:ascii="Calibri" w:hAnsi="Calibri" w:cs="Calibri"/>
          <w:lang w:val="en-GB"/>
        </w:rPr>
        <w:t>in human form</w:t>
      </w:r>
      <w:r w:rsidRPr="001B5AD9">
        <w:rPr>
          <w:rFonts w:ascii="Calibri" w:hAnsi="Calibri" w:cs="Calibri"/>
          <w:color w:val="000000"/>
          <w:lang w:val="en-GB"/>
        </w:rPr>
        <w:t>,</w:t>
      </w:r>
      <w:r w:rsidRPr="001B5AD9">
        <w:rPr>
          <w:rFonts w:ascii="Calibri" w:hAnsi="Calibri" w:cs="Calibri"/>
          <w:lang w:val="en-GB"/>
        </w:rPr>
        <w:t xml:space="preserve"> </w:t>
      </w:r>
      <w:r w:rsidR="005D478F" w:rsidRPr="001B5AD9">
        <w:rPr>
          <w:rFonts w:ascii="Calibri" w:hAnsi="Calibri" w:cs="Calibri"/>
          <w:lang w:val="en-GB"/>
        </w:rPr>
        <w:t xml:space="preserve">sometimes even without witnessing a miracle — attained </w:t>
      </w:r>
      <w:r w:rsidRPr="001B5AD9">
        <w:rPr>
          <w:rFonts w:ascii="Calibri" w:hAnsi="Calibri" w:cs="Calibri"/>
          <w:lang w:val="en-GB"/>
        </w:rPr>
        <w:t xml:space="preserve">such an îmân that all the </w:t>
      </w:r>
      <w:r w:rsidR="005D478F" w:rsidRPr="001B5AD9">
        <w:rPr>
          <w:rFonts w:ascii="Calibri" w:hAnsi="Calibri" w:cs="Calibri"/>
          <w:lang w:val="en-GB"/>
        </w:rPr>
        <w:t xml:space="preserve">entire opinion of the </w:t>
      </w:r>
      <w:r w:rsidRPr="001B5AD9">
        <w:rPr>
          <w:rFonts w:ascii="Calibri" w:hAnsi="Calibri" w:cs="Calibri"/>
          <w:lang w:val="en-GB"/>
        </w:rPr>
        <w:t>world could not shake their îmân</w:t>
      </w:r>
      <w:r w:rsidR="005D478F" w:rsidRPr="001B5AD9">
        <w:rPr>
          <w:rFonts w:ascii="Calibri" w:hAnsi="Calibri" w:cs="Calibri"/>
          <w:lang w:val="en-GB"/>
        </w:rPr>
        <w:t xml:space="preserve">, nor did it cause even a single waswasa to some of them, let alone doubt. As for you, you weigh your îmân against the îmân of the Sahabah. </w:t>
      </w:r>
      <w:r w:rsidR="00DA56DC" w:rsidRPr="001B5AD9">
        <w:rPr>
          <w:rFonts w:ascii="Calibri" w:hAnsi="Calibri" w:cs="Calibri"/>
          <w:lang w:val="en-GB"/>
        </w:rPr>
        <w:t xml:space="preserve">What a vast difference there is between your îmân — which falls into doubt and waswasa at a single word of a European philosopher, even though the entire collective opinion of Islam gives strength and confirmation to your îmân, and even though you behold with the mind's eye not the humanity and physical form of Ar-Rasûl Al-Akram ‘Alayhissalâtu Wassalâm, which is the seed of the Tûbâ tree of nubuwwah, but rather his magnificent and luminous ma’nawî personality, arrayed in and </w:t>
      </w:r>
      <w:r w:rsidR="001B5AD9" w:rsidRPr="001B5AD9">
        <w:rPr>
          <w:rFonts w:ascii="Calibri" w:hAnsi="Calibri" w:cs="Calibri"/>
          <w:lang w:val="en-GB"/>
        </w:rPr>
        <w:t>enfolded</w:t>
      </w:r>
      <w:r w:rsidR="00DA56DC" w:rsidRPr="001B5AD9">
        <w:rPr>
          <w:rFonts w:ascii="Calibri" w:hAnsi="Calibri" w:cs="Calibri"/>
          <w:lang w:val="en-GB"/>
        </w:rPr>
        <w:t xml:space="preserve"> by a thousand miracles and illuminated through all the nûrs of Islam and the haqiqahs of the Qur'an</w:t>
      </w:r>
      <w:r w:rsidR="001B5AD9" w:rsidRPr="001B5AD9">
        <w:rPr>
          <w:rFonts w:ascii="Calibri" w:hAnsi="Calibri" w:cs="Calibri"/>
          <w:lang w:val="en-GB"/>
        </w:rPr>
        <w:t xml:space="preserve"> </w:t>
      </w:r>
      <w:r w:rsidR="00DA56DC" w:rsidRPr="001B5AD9">
        <w:rPr>
          <w:rFonts w:ascii="Calibri" w:hAnsi="Calibri" w:cs="Calibri"/>
          <w:lang w:val="en-GB"/>
        </w:rPr>
        <w:t>—</w:t>
      </w:r>
      <w:r w:rsidR="001B5AD9" w:rsidRPr="001B5AD9">
        <w:rPr>
          <w:rFonts w:ascii="Calibri" w:hAnsi="Calibri" w:cs="Calibri"/>
          <w:lang w:val="en-GB"/>
        </w:rPr>
        <w:t xml:space="preserve"> </w:t>
      </w:r>
      <w:r w:rsidR="00DA56DC" w:rsidRPr="001B5AD9">
        <w:rPr>
          <w:rFonts w:ascii="Calibri" w:hAnsi="Calibri" w:cs="Calibri"/>
          <w:lang w:val="en-GB"/>
        </w:rPr>
        <w:t>and, on the other hand, the îmân of the Sahabah, which remained unshaken in the face of the attacks of the entire world of kufr, Christians, Jews and philosophers!</w:t>
      </w:r>
    </w:p>
    <w:p w14:paraId="1B4ECE68" w14:textId="77777777" w:rsidR="004418FE" w:rsidRPr="004418FE" w:rsidRDefault="004418FE" w:rsidP="004418FE">
      <w:pPr>
        <w:spacing w:before="120"/>
        <w:jc w:val="both"/>
        <w:rPr>
          <w:rFonts w:ascii="Calibri" w:hAnsi="Calibri" w:cs="Calibri"/>
          <w:color w:val="000000"/>
          <w:lang w:eastAsia="tr-TR" w:bidi="ar-SA"/>
        </w:rPr>
      </w:pPr>
      <w:r w:rsidRPr="004418FE">
        <w:rPr>
          <w:rFonts w:ascii="Calibri" w:hAnsi="Calibri" w:cs="Calibri"/>
          <w:color w:val="000000"/>
          <w:lang w:eastAsia="tr-TR" w:bidi="ar-SA"/>
        </w:rPr>
        <w:t xml:space="preserve">O claimant! What a vast difference there is between your faint îmân — which, due to its extreme weakness, does not even fully manifest the </w:t>
      </w:r>
      <w:r w:rsidRPr="004418FE">
        <w:rPr>
          <w:rFonts w:ascii="Calibri" w:hAnsi="Calibri" w:cs="Calibri"/>
          <w:color w:val="000000"/>
          <w:lang w:val="en-GB"/>
        </w:rPr>
        <w:t xml:space="preserve">fardh </w:t>
      </w:r>
      <w:r w:rsidRPr="004418FE">
        <w:rPr>
          <w:rFonts w:ascii="Calibri" w:hAnsi="Calibri" w:cs="Calibri"/>
          <w:color w:val="000000"/>
          <w:lang w:eastAsia="tr-TR" w:bidi="ar-SA"/>
        </w:rPr>
        <w:t xml:space="preserve">in your actions — and </w:t>
      </w:r>
      <w:r w:rsidRPr="004418FE">
        <w:rPr>
          <w:rFonts w:ascii="Calibri" w:hAnsi="Calibri" w:cs="Calibri"/>
          <w:color w:val="000000"/>
          <w:lang w:val="en-GB"/>
        </w:rPr>
        <w:t>the intense taqwâ and perfect righteousness of the Sahabah, which demonstrate the strength of their</w:t>
      </w:r>
      <w:r w:rsidRPr="004418FE">
        <w:rPr>
          <w:rFonts w:ascii="Calibri" w:hAnsi="Calibri" w:cs="Calibri"/>
          <w:lang w:val="en-GB"/>
        </w:rPr>
        <w:t xml:space="preserve"> îmân</w:t>
      </w:r>
      <w:r w:rsidRPr="004418FE">
        <w:rPr>
          <w:rFonts w:ascii="Calibri" w:hAnsi="Calibri" w:cs="Calibri"/>
          <w:color w:val="000000"/>
          <w:lang w:eastAsia="tr-TR" w:bidi="ar-SA"/>
        </w:rPr>
        <w:t xml:space="preserve"> and are the manifestations of their îmân! </w:t>
      </w:r>
    </w:p>
    <w:p w14:paraId="39513330" w14:textId="77777777" w:rsidR="004418FE" w:rsidRPr="001B5AD9" w:rsidRDefault="000A4860" w:rsidP="000A4860">
      <w:pPr>
        <w:spacing w:before="120"/>
        <w:jc w:val="both"/>
        <w:rPr>
          <w:rStyle w:val="DipnotSabitleyicisi"/>
          <w:rFonts w:ascii="Calibri" w:hAnsi="Calibri" w:cs="Calibri"/>
          <w:vertAlign w:val="baseline"/>
          <w:lang w:val="en-GB"/>
        </w:rPr>
      </w:pPr>
      <w:r w:rsidRPr="000A4860">
        <w:rPr>
          <w:rFonts w:ascii="Calibri" w:hAnsi="Calibri" w:cs="Calibri"/>
          <w:color w:val="000000"/>
          <w:lang w:eastAsia="tr-TR" w:bidi="ar-SA"/>
        </w:rPr>
        <w:lastRenderedPageBreak/>
        <w:t xml:space="preserve">As for the narration transmitted in the hadîth </w:t>
      </w:r>
      <w:r w:rsidR="00A11B64">
        <w:rPr>
          <w:rFonts w:ascii="Calibri" w:hAnsi="Calibri" w:cs="Calibri"/>
          <w:color w:val="000000"/>
          <w:lang w:eastAsia="tr-TR" w:bidi="ar-SA"/>
        </w:rPr>
        <w:t xml:space="preserve">meaning, </w:t>
      </w:r>
      <w:r w:rsidRPr="000A4860">
        <w:rPr>
          <w:rFonts w:ascii="Calibri" w:hAnsi="Calibri" w:cs="Calibri"/>
          <w:color w:val="000000"/>
          <w:lang w:eastAsia="tr-TR" w:bidi="ar-SA"/>
        </w:rPr>
        <w:t xml:space="preserve">"Those in the âkhirzaman who believe without seeing me are more acceptable," it concerns certain specific individuals and their particular </w:t>
      </w:r>
      <w:r w:rsidRPr="000A4860">
        <w:rPr>
          <w:rStyle w:val="DipnotSabitleyicisi"/>
          <w:rFonts w:ascii="Calibri" w:hAnsi="Calibri" w:cs="Calibri"/>
          <w:color w:val="000000"/>
          <w:vertAlign w:val="baseline"/>
          <w:lang w:val="en-GB" w:eastAsia="tr-TR" w:bidi="ar-SA"/>
        </w:rPr>
        <w:t>fadh</w:t>
      </w:r>
      <w:r w:rsidRPr="000A4860">
        <w:rPr>
          <w:rStyle w:val="DipnotSabitleyicisi"/>
          <w:rFonts w:ascii="Calibri" w:hAnsi="Calibri" w:cs="Calibri"/>
          <w:vertAlign w:val="baseline"/>
          <w:lang w:val="en-GB" w:eastAsia="tr-TR" w:bidi="ar-SA"/>
        </w:rPr>
        <w:t>îlahs</w:t>
      </w:r>
      <w:r w:rsidRPr="000A4860">
        <w:rPr>
          <w:rFonts w:ascii="Calibri" w:hAnsi="Calibri" w:cs="Calibri"/>
          <w:color w:val="000000"/>
          <w:lang w:eastAsia="tr-TR" w:bidi="ar-SA"/>
        </w:rPr>
        <w:t>. Our discussion</w:t>
      </w:r>
      <w:r>
        <w:rPr>
          <w:rFonts w:ascii="Calibri" w:hAnsi="Calibri" w:cs="Calibri"/>
          <w:color w:val="000000"/>
          <w:lang w:eastAsia="tr-TR" w:bidi="ar-SA"/>
        </w:rPr>
        <w:t xml:space="preserve"> here in this risale</w:t>
      </w:r>
      <w:r w:rsidRPr="000A4860">
        <w:rPr>
          <w:rFonts w:ascii="Calibri" w:hAnsi="Calibri" w:cs="Calibri"/>
          <w:color w:val="000000"/>
          <w:lang w:eastAsia="tr-TR" w:bidi="ar-SA"/>
        </w:rPr>
        <w:t>, however, is in regard to the rank of the Sah</w:t>
      </w:r>
      <w:r>
        <w:rPr>
          <w:rFonts w:ascii="Calibri" w:hAnsi="Calibri" w:cs="Calibri"/>
          <w:color w:val="000000"/>
          <w:lang w:eastAsia="tr-TR" w:bidi="ar-SA"/>
        </w:rPr>
        <w:t>ab</w:t>
      </w:r>
      <w:r w:rsidRPr="000A4860">
        <w:rPr>
          <w:rFonts w:ascii="Calibri" w:hAnsi="Calibri" w:cs="Calibri"/>
          <w:color w:val="000000"/>
          <w:lang w:eastAsia="tr-TR" w:bidi="ar-SA"/>
        </w:rPr>
        <w:t xml:space="preserve">ah collectively and their universal </w:t>
      </w:r>
      <w:r w:rsidRPr="000A4860">
        <w:rPr>
          <w:rStyle w:val="DipnotSabitleyicisi"/>
          <w:rFonts w:ascii="Calibri" w:hAnsi="Calibri" w:cs="Calibri"/>
          <w:color w:val="000000"/>
          <w:vertAlign w:val="baseline"/>
          <w:lang w:val="en-GB" w:eastAsia="tr-TR" w:bidi="ar-SA"/>
        </w:rPr>
        <w:t>fadh</w:t>
      </w:r>
      <w:r w:rsidRPr="000A4860">
        <w:rPr>
          <w:rStyle w:val="DipnotSabitleyicisi"/>
          <w:rFonts w:ascii="Calibri" w:hAnsi="Calibri" w:cs="Calibri"/>
          <w:vertAlign w:val="baseline"/>
          <w:lang w:val="en-GB" w:eastAsia="tr-TR" w:bidi="ar-SA"/>
        </w:rPr>
        <w:t>îlah</w:t>
      </w:r>
      <w:r w:rsidRPr="000A4860">
        <w:rPr>
          <w:rFonts w:ascii="Calibri" w:hAnsi="Calibri" w:cs="Calibri"/>
          <w:color w:val="000000"/>
          <w:lang w:eastAsia="tr-TR" w:bidi="ar-SA"/>
        </w:rPr>
        <w:t>.</w:t>
      </w:r>
    </w:p>
    <w:p w14:paraId="7B25963F" w14:textId="77777777" w:rsidR="00265267" w:rsidRPr="001B5AD9" w:rsidRDefault="00265267" w:rsidP="00265267">
      <w:pPr>
        <w:spacing w:before="120"/>
        <w:jc w:val="right"/>
        <w:rPr>
          <w:rFonts w:ascii="Calibri" w:hAnsi="Calibri" w:cs="Calibri"/>
          <w:highlight w:val="yellow"/>
          <w:lang w:val="en-GB"/>
        </w:rPr>
      </w:pPr>
      <w:r w:rsidRPr="001B5AD9">
        <w:rPr>
          <w:rFonts w:ascii="Calibri" w:hAnsi="Calibri" w:cs="Calibri"/>
          <w:lang w:val="en-GB"/>
        </w:rPr>
        <w:t xml:space="preserve">The Addendum to </w:t>
      </w:r>
      <w:bookmarkStart w:id="0" w:name="_Hlk239165265"/>
      <w:r w:rsidRPr="001B5AD9">
        <w:rPr>
          <w:rFonts w:ascii="Calibri" w:hAnsi="Calibri" w:cs="Calibri"/>
          <w:lang w:val="en-GB"/>
        </w:rPr>
        <w:t>the Twenty-Seventh Word</w:t>
      </w:r>
    </w:p>
    <w:bookmarkEnd w:id="0"/>
    <w:p w14:paraId="6C01D89C" w14:textId="77777777" w:rsidR="004657DC" w:rsidRPr="00A11B64" w:rsidRDefault="00A11B64" w:rsidP="00A11B64">
      <w:pPr>
        <w:spacing w:before="120"/>
        <w:jc w:val="both"/>
        <w:rPr>
          <w:rFonts w:ascii="Calibri" w:hAnsi="Calibri" w:cs="Calibri"/>
          <w:b/>
          <w:bCs/>
          <w:i/>
          <w:iCs/>
          <w:lang w:val="en-GB"/>
        </w:rPr>
      </w:pPr>
      <w:r w:rsidRPr="00A11B64">
        <w:rPr>
          <w:rFonts w:ascii="Calibri" w:hAnsi="Calibri" w:cs="Calibri"/>
          <w:b/>
          <w:bCs/>
          <w:i/>
          <w:iCs/>
        </w:rPr>
        <w:t xml:space="preserve">For the explanation of the </w:t>
      </w:r>
      <w:hyperlink r:id="rId11" w:history="1">
        <w:r w:rsidRPr="00A11B64">
          <w:rPr>
            <w:rStyle w:val="Hyperlink"/>
            <w:rFonts w:ascii="Calibri" w:hAnsi="Calibri" w:cs="Calibri"/>
            <w:b/>
            <w:bCs/>
            <w:i/>
            <w:iCs/>
          </w:rPr>
          <w:t>mutashâbih</w:t>
        </w:r>
      </w:hyperlink>
      <w:r w:rsidRPr="00A11B64">
        <w:rPr>
          <w:rFonts w:ascii="Calibri" w:hAnsi="Calibri" w:cs="Calibri"/>
          <w:b/>
          <w:bCs/>
          <w:i/>
          <w:iCs/>
        </w:rPr>
        <w:t xml:space="preserve"> had</w:t>
      </w:r>
      <w:r>
        <w:rPr>
          <w:rFonts w:ascii="Calibri" w:hAnsi="Calibri" w:cs="Calibri"/>
          <w:b/>
          <w:bCs/>
          <w:i/>
          <w:iCs/>
        </w:rPr>
        <w:t>i</w:t>
      </w:r>
      <w:r w:rsidRPr="00A11B64">
        <w:rPr>
          <w:rFonts w:ascii="Calibri" w:hAnsi="Calibri" w:cs="Calibri"/>
          <w:b/>
          <w:bCs/>
          <w:i/>
          <w:iCs/>
        </w:rPr>
        <w:t>ths concerning the figures of the âkhirzaman, such as the Dajj</w:t>
      </w:r>
      <w:r>
        <w:rPr>
          <w:rFonts w:ascii="Calibri" w:hAnsi="Calibri" w:cs="Calibri"/>
          <w:b/>
          <w:bCs/>
          <w:i/>
          <w:iCs/>
        </w:rPr>
        <w:t>a</w:t>
      </w:r>
      <w:r w:rsidRPr="00A11B64">
        <w:rPr>
          <w:rFonts w:ascii="Calibri" w:hAnsi="Calibri" w:cs="Calibri"/>
          <w:b/>
          <w:bCs/>
          <w:i/>
          <w:iCs/>
        </w:rPr>
        <w:t>l and the Sufy</w:t>
      </w:r>
      <w:r>
        <w:rPr>
          <w:rFonts w:ascii="Calibri" w:hAnsi="Calibri" w:cs="Calibri"/>
          <w:b/>
          <w:bCs/>
          <w:i/>
          <w:iCs/>
        </w:rPr>
        <w:t>a</w:t>
      </w:r>
      <w:r w:rsidRPr="00A11B64">
        <w:rPr>
          <w:rFonts w:ascii="Calibri" w:hAnsi="Calibri" w:cs="Calibri"/>
          <w:b/>
          <w:bCs/>
          <w:i/>
          <w:iCs/>
        </w:rPr>
        <w:t xml:space="preserve">n, as well as the signs of Qiyâmah, please refer to </w:t>
      </w:r>
      <w:hyperlink r:id="rId12" w:history="1">
        <w:r w:rsidRPr="00A11B64">
          <w:rPr>
            <w:rStyle w:val="Hyperlink"/>
            <w:rFonts w:ascii="Calibri" w:hAnsi="Calibri" w:cs="Calibri"/>
            <w:b/>
            <w:bCs/>
            <w:i/>
            <w:iCs/>
          </w:rPr>
          <w:t>The Fifth Ray</w:t>
        </w:r>
      </w:hyperlink>
      <w:r w:rsidRPr="00A11B64">
        <w:rPr>
          <w:rFonts w:ascii="Calibri" w:hAnsi="Calibri" w:cs="Calibri"/>
          <w:b/>
          <w:bCs/>
          <w:i/>
          <w:iCs/>
        </w:rPr>
        <w:t>.</w:t>
      </w:r>
    </w:p>
    <w:sectPr w:rsidR="004657DC" w:rsidRPr="00A11B64">
      <w:pgSz w:w="11906" w:h="16838"/>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0A581C" w14:textId="77777777" w:rsidR="006F1740" w:rsidRDefault="006F1740">
      <w:r>
        <w:separator/>
      </w:r>
    </w:p>
  </w:endnote>
  <w:endnote w:type="continuationSeparator" w:id="0">
    <w:p w14:paraId="0881A659" w14:textId="77777777" w:rsidR="006F1740" w:rsidRDefault="006F17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iberation Sans">
    <w:altName w:val="Arial"/>
    <w:charset w:val="A2"/>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30C170" w14:textId="77777777" w:rsidR="006F1740" w:rsidRDefault="006F1740">
      <w:r>
        <w:separator/>
      </w:r>
    </w:p>
  </w:footnote>
  <w:footnote w:type="continuationSeparator" w:id="0">
    <w:p w14:paraId="40341589" w14:textId="77777777" w:rsidR="006F1740" w:rsidRDefault="006F1740">
      <w:r>
        <w:continuationSeparator/>
      </w:r>
    </w:p>
  </w:footnote>
  <w:footnote w:id="1">
    <w:p w14:paraId="00F680FB" w14:textId="77777777" w:rsidR="007F2E7D" w:rsidRPr="00556FD5" w:rsidRDefault="007F2E7D" w:rsidP="00556FD5">
      <w:pPr>
        <w:pStyle w:val="FootnoteText"/>
        <w:spacing w:before="120"/>
        <w:jc w:val="both"/>
        <w:rPr>
          <w:rFonts w:ascii="Calibri" w:hAnsi="Calibri" w:cs="Calibri"/>
          <w:sz w:val="24"/>
          <w:szCs w:val="24"/>
          <w:lang w:val="en-US"/>
        </w:rPr>
      </w:pPr>
      <w:r w:rsidRPr="00556FD5">
        <w:rPr>
          <w:rStyle w:val="FootnoteReference"/>
          <w:rFonts w:ascii="Calibri" w:hAnsi="Calibri" w:cs="Calibri"/>
          <w:sz w:val="24"/>
          <w:szCs w:val="24"/>
        </w:rPr>
        <w:footnoteRef/>
      </w:r>
      <w:r w:rsidRPr="00556FD5">
        <w:rPr>
          <w:rFonts w:ascii="Calibri" w:hAnsi="Calibri" w:cs="Calibri"/>
          <w:sz w:val="24"/>
          <w:szCs w:val="24"/>
        </w:rPr>
        <w:t xml:space="preserve"> </w:t>
      </w:r>
      <w:r w:rsidR="00556FD5" w:rsidRPr="00556FD5">
        <w:rPr>
          <w:rFonts w:ascii="Calibri" w:hAnsi="Calibri" w:cs="Calibri"/>
          <w:sz w:val="24"/>
          <w:szCs w:val="24"/>
        </w:rPr>
        <w:t>Ibn Hibbân, as-Sahîh, no. 7232; Ahmad ibn Hanbal, al-Musnad, 18:250, no. 11800.</w:t>
      </w:r>
    </w:p>
  </w:footnote>
  <w:footnote w:id="2">
    <w:p w14:paraId="0BBECA85" w14:textId="77777777" w:rsidR="00556FD5" w:rsidRPr="00556FD5" w:rsidRDefault="00556FD5" w:rsidP="00556FD5">
      <w:pPr>
        <w:pStyle w:val="FootnoteText"/>
        <w:spacing w:before="120"/>
        <w:jc w:val="both"/>
        <w:rPr>
          <w:rFonts w:ascii="Calibri" w:hAnsi="Calibri" w:cs="Calibri"/>
          <w:sz w:val="24"/>
          <w:szCs w:val="24"/>
          <w:lang w:val="en-US"/>
        </w:rPr>
      </w:pPr>
      <w:r w:rsidRPr="00556FD5">
        <w:rPr>
          <w:rStyle w:val="FootnoteReference"/>
          <w:rFonts w:ascii="Calibri" w:hAnsi="Calibri" w:cs="Calibri"/>
          <w:sz w:val="24"/>
          <w:szCs w:val="24"/>
        </w:rPr>
        <w:footnoteRef/>
      </w:r>
      <w:r w:rsidRPr="00556FD5">
        <w:rPr>
          <w:rFonts w:ascii="Calibri" w:hAnsi="Calibri" w:cs="Calibri"/>
          <w:sz w:val="24"/>
          <w:szCs w:val="24"/>
        </w:rPr>
        <w:t xml:space="preserve"> Muslim, as-Sahîh, Kitâb at-Tahârah, no. 249.</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embedSystemFonts/>
  <w:proofState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5267"/>
    <w:rsid w:val="000A4860"/>
    <w:rsid w:val="0016416C"/>
    <w:rsid w:val="001B5AD9"/>
    <w:rsid w:val="00265267"/>
    <w:rsid w:val="00361E90"/>
    <w:rsid w:val="003E7904"/>
    <w:rsid w:val="004418FE"/>
    <w:rsid w:val="004657DC"/>
    <w:rsid w:val="00485154"/>
    <w:rsid w:val="004A617B"/>
    <w:rsid w:val="00556FD5"/>
    <w:rsid w:val="00584989"/>
    <w:rsid w:val="005B3852"/>
    <w:rsid w:val="005C0F8E"/>
    <w:rsid w:val="005D478F"/>
    <w:rsid w:val="00614C37"/>
    <w:rsid w:val="006F1740"/>
    <w:rsid w:val="00715BA1"/>
    <w:rsid w:val="007F2E7D"/>
    <w:rsid w:val="00972042"/>
    <w:rsid w:val="009A629C"/>
    <w:rsid w:val="00A11B64"/>
    <w:rsid w:val="00BB202F"/>
    <w:rsid w:val="00C6720E"/>
    <w:rsid w:val="00C90B4D"/>
    <w:rsid w:val="00D60E9F"/>
    <w:rsid w:val="00D763EA"/>
    <w:rsid w:val="00DA56DC"/>
    <w:rsid w:val="00E64196"/>
    <w:rsid w:val="00E6549E"/>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7E7DE26B"/>
  <w15:chartTrackingRefBased/>
  <w15:docId w15:val="{99B0300C-77B2-4C2D-AC83-1918727C4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sz w:val="24"/>
      <w:szCs w:val="24"/>
      <w:lang w:eastAsia="zh-CN" w:bidi="ar-A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arsaylanParagrafYazTipi">
    <w:name w:val="Varsayılan Paragraf Yazı Tipi"/>
  </w:style>
  <w:style w:type="character" w:customStyle="1" w:styleId="DipnotKarakterleri">
    <w:name w:val="Dipnot Karakterleri"/>
    <w:qFormat/>
    <w:rPr>
      <w:vertAlign w:val="superscript"/>
    </w:rPr>
  </w:style>
  <w:style w:type="character" w:customStyle="1" w:styleId="stBilgiChar">
    <w:name w:val="Üst Bilgi Char"/>
    <w:rPr>
      <w:sz w:val="24"/>
      <w:szCs w:val="24"/>
      <w:lang w:bidi="ar-AE"/>
    </w:rPr>
  </w:style>
  <w:style w:type="character" w:customStyle="1" w:styleId="AltBilgiChar">
    <w:name w:val="Alt Bilgi Char"/>
    <w:rPr>
      <w:sz w:val="24"/>
      <w:szCs w:val="24"/>
      <w:lang w:bidi="ar-AE"/>
    </w:rPr>
  </w:style>
  <w:style w:type="character" w:styleId="FootnoteReference">
    <w:name w:val="footnote reference"/>
    <w:rPr>
      <w:vertAlign w:val="superscript"/>
    </w:rPr>
  </w:style>
  <w:style w:type="character" w:customStyle="1" w:styleId="SonnotKarakterleri">
    <w:name w:val="Sonnot Karakterleri"/>
    <w:rPr>
      <w:vertAlign w:val="superscript"/>
    </w:rPr>
  </w:style>
  <w:style w:type="character" w:customStyle="1" w:styleId="WW-SonnotKarakterleri">
    <w:name w:val="WW-Sonnot Karakterleri"/>
  </w:style>
  <w:style w:type="character" w:styleId="EndnoteReference">
    <w:name w:val="endnote reference"/>
    <w:rPr>
      <w:vertAlign w:val="superscript"/>
    </w:rPr>
  </w:style>
  <w:style w:type="paragraph" w:customStyle="1" w:styleId="Balk">
    <w:name w:val="Başlık"/>
    <w:basedOn w:val="Normal"/>
    <w:next w:val="BodyTex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rPr>
  </w:style>
  <w:style w:type="paragraph" w:customStyle="1" w:styleId="Dizin">
    <w:name w:val="Dizin"/>
    <w:basedOn w:val="Normal"/>
    <w:pPr>
      <w:suppressLineNumbers/>
    </w:pPr>
    <w:rPr>
      <w:rFonts w:cs="Arial"/>
    </w:rPr>
  </w:style>
  <w:style w:type="paragraph" w:styleId="FootnoteText">
    <w:name w:val="footnote text"/>
    <w:basedOn w:val="Normal"/>
    <w:link w:val="FootnoteTextChar"/>
    <w:rPr>
      <w:sz w:val="20"/>
      <w:szCs w:val="20"/>
    </w:rPr>
  </w:style>
  <w:style w:type="paragraph" w:customStyle="1" w:styleId="stvealtbilgi">
    <w:name w:val="Üst ve alt bilgi"/>
    <w:basedOn w:val="Normal"/>
    <w:pPr>
      <w:suppressLineNumbers/>
      <w:tabs>
        <w:tab w:val="center" w:pos="4819"/>
        <w:tab w:val="right" w:pos="9638"/>
      </w:tabs>
    </w:pPr>
  </w:style>
  <w:style w:type="paragraph" w:styleId="Header">
    <w:name w:val="header"/>
    <w:basedOn w:val="Normal"/>
    <w:pPr>
      <w:tabs>
        <w:tab w:val="center" w:pos="4536"/>
        <w:tab w:val="right" w:pos="9072"/>
      </w:tabs>
    </w:pPr>
  </w:style>
  <w:style w:type="paragraph" w:styleId="Footer">
    <w:name w:val="footer"/>
    <w:basedOn w:val="Normal"/>
    <w:pPr>
      <w:tabs>
        <w:tab w:val="center" w:pos="4536"/>
        <w:tab w:val="right" w:pos="9072"/>
      </w:tabs>
    </w:pPr>
  </w:style>
  <w:style w:type="character" w:customStyle="1" w:styleId="DipnotSabitleyicisi">
    <w:name w:val="Dipnot Sabitleyicisi"/>
    <w:uiPriority w:val="99"/>
    <w:rsid w:val="00C6720E"/>
    <w:rPr>
      <w:vertAlign w:val="superscript"/>
    </w:rPr>
  </w:style>
  <w:style w:type="character" w:customStyle="1" w:styleId="FootnoteTextChar">
    <w:name w:val="Footnote Text Char"/>
    <w:link w:val="FootnoteText"/>
    <w:qFormat/>
    <w:rsid w:val="00D763EA"/>
    <w:rPr>
      <w:lang w:eastAsia="zh-CN" w:bidi="ar-AE"/>
    </w:rPr>
  </w:style>
  <w:style w:type="character" w:customStyle="1" w:styleId="FootnoteCharacters">
    <w:name w:val="Footnote Characters"/>
    <w:rsid w:val="00D763EA"/>
  </w:style>
  <w:style w:type="character" w:styleId="Hyperlink">
    <w:name w:val="Hyperlink"/>
    <w:uiPriority w:val="99"/>
    <w:unhideWhenUsed/>
    <w:rsid w:val="00A11B64"/>
    <w:rPr>
      <w:color w:val="0563C1"/>
      <w:u w:val="single"/>
    </w:rPr>
  </w:style>
  <w:style w:type="character" w:styleId="UnresolvedMention">
    <w:name w:val="Unresolved Mention"/>
    <w:uiPriority w:val="99"/>
    <w:semiHidden/>
    <w:unhideWhenUsed/>
    <w:rsid w:val="00A11B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s://risaleinur.online/english/_dictionary/M/MANAWI.php"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risaleinur.online/english/_dictionary/Q/QIYAMAH.php" TargetMode="External"/><Relationship Id="rId12" Type="http://schemas.openxmlformats.org/officeDocument/2006/relationships/hyperlink" Target="https://risaleinur.online/english/_rn_collection/THE_RAYS/THE%20FIFTH%20RAY/TheFifthRay_Introduction.php"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risaleinur.online/english/_dictionary/M/MUTASHABIHAT.php" TargetMode="External"/><Relationship Id="rId5" Type="http://schemas.openxmlformats.org/officeDocument/2006/relationships/footnotes" Target="footnotes.xml"/><Relationship Id="rId10" Type="http://schemas.openxmlformats.org/officeDocument/2006/relationships/hyperlink" Target="https://risaleinur.online/english/_dictionary/I/IMAN.php" TargetMode="External"/><Relationship Id="rId4" Type="http://schemas.openxmlformats.org/officeDocument/2006/relationships/webSettings" Target="webSettings.xml"/><Relationship Id="rId9" Type="http://schemas.openxmlformats.org/officeDocument/2006/relationships/hyperlink" Target="https://risaleinur.online/english/_dictionary/H/HAQIQAH.php"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007AC6-D2D5-4CFD-BEB0-BE01F5511E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556</Words>
  <Characters>3170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ÂKHIRZAMAN - آخر الزمان</vt:lpstr>
    </vt:vector>
  </TitlesOfParts>
  <Company/>
  <LinksUpToDate>false</LinksUpToDate>
  <CharactersWithSpaces>3719</CharactersWithSpaces>
  <SharedDoc>false</SharedDoc>
  <HLinks>
    <vt:vector size="36" baseType="variant">
      <vt:variant>
        <vt:i4>1703963</vt:i4>
      </vt:variant>
      <vt:variant>
        <vt:i4>15</vt:i4>
      </vt:variant>
      <vt:variant>
        <vt:i4>0</vt:i4>
      </vt:variant>
      <vt:variant>
        <vt:i4>5</vt:i4>
      </vt:variant>
      <vt:variant>
        <vt:lpwstr>https://risaleinur.online/english/_rn_collection/THE_RAYS/THE FIFTH RAY/TheFifthRay_Introduction.php</vt:lpwstr>
      </vt:variant>
      <vt:variant>
        <vt:lpwstr/>
      </vt:variant>
      <vt:variant>
        <vt:i4>786531</vt:i4>
      </vt:variant>
      <vt:variant>
        <vt:i4>12</vt:i4>
      </vt:variant>
      <vt:variant>
        <vt:i4>0</vt:i4>
      </vt:variant>
      <vt:variant>
        <vt:i4>5</vt:i4>
      </vt:variant>
      <vt:variant>
        <vt:lpwstr>https://risaleinur.online/english/_dictionary/M/MUTASHABIHAT.php</vt:lpwstr>
      </vt:variant>
      <vt:variant>
        <vt:lpwstr/>
      </vt:variant>
      <vt:variant>
        <vt:i4>852076</vt:i4>
      </vt:variant>
      <vt:variant>
        <vt:i4>9</vt:i4>
      </vt:variant>
      <vt:variant>
        <vt:i4>0</vt:i4>
      </vt:variant>
      <vt:variant>
        <vt:i4>5</vt:i4>
      </vt:variant>
      <vt:variant>
        <vt:lpwstr>https://risaleinur.online/english/_dictionary/I/IMAN.php</vt:lpwstr>
      </vt:variant>
      <vt:variant>
        <vt:lpwstr/>
      </vt:variant>
      <vt:variant>
        <vt:i4>2162771</vt:i4>
      </vt:variant>
      <vt:variant>
        <vt:i4>6</vt:i4>
      </vt:variant>
      <vt:variant>
        <vt:i4>0</vt:i4>
      </vt:variant>
      <vt:variant>
        <vt:i4>5</vt:i4>
      </vt:variant>
      <vt:variant>
        <vt:lpwstr>https://risaleinur.online/english/_dictionary/H/HAQIQAH.php</vt:lpwstr>
      </vt:variant>
      <vt:variant>
        <vt:lpwstr/>
      </vt:variant>
      <vt:variant>
        <vt:i4>6750228</vt:i4>
      </vt:variant>
      <vt:variant>
        <vt:i4>3</vt:i4>
      </vt:variant>
      <vt:variant>
        <vt:i4>0</vt:i4>
      </vt:variant>
      <vt:variant>
        <vt:i4>5</vt:i4>
      </vt:variant>
      <vt:variant>
        <vt:lpwstr>https://risaleinur.online/english/_dictionary/M/MANAWI.php</vt:lpwstr>
      </vt:variant>
      <vt:variant>
        <vt:lpwstr/>
      </vt:variant>
      <vt:variant>
        <vt:i4>2162759</vt:i4>
      </vt:variant>
      <vt:variant>
        <vt:i4>0</vt:i4>
      </vt:variant>
      <vt:variant>
        <vt:i4>0</vt:i4>
      </vt:variant>
      <vt:variant>
        <vt:i4>5</vt:i4>
      </vt:variant>
      <vt:variant>
        <vt:lpwstr>https://risaleinur.online/english/_dictionary/Q/QIYAMAH.php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ÂKHIRZAMAN - آخر الزمان</dc:title>
  <dc:subject/>
  <dc:creator>DURUKAN</dc:creator>
  <cp:keywords/>
  <cp:lastModifiedBy>zulal durukan</cp:lastModifiedBy>
  <cp:revision>2</cp:revision>
  <cp:lastPrinted>1995-11-21T15:41:00Z</cp:lastPrinted>
  <dcterms:created xsi:type="dcterms:W3CDTF">2026-09-02T10:27:00Z</dcterms:created>
  <dcterms:modified xsi:type="dcterms:W3CDTF">2026-09-02T10:27:00Z</dcterms:modified>
</cp:coreProperties>
</file>